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40"/>
      </w:pPr>
      <w:r>
        <w:t xml:space="preserve"/>
      </w:r>
    </w:p>
    <w:p>
      <w:pPr>
        <w:spacing w:before="0" w:after="40"/>
        <w:jc w:val="center"/>
      </w:pPr>
      <w:r>
        <w:rPr>
          <w:rFonts w:ascii="Calibri" w:cs="Calibri" w:eastAsia="Calibri" w:hAnsi="Calibri"/>
          <w:b/>
          <w:bCs/>
          <w:color w:val="3B1278"/>
          <w:sz w:val="52"/>
          <w:szCs w:val="52"/>
        </w:rPr>
        <w:t xml:space="preserve">FITNESS TRACKER — QUANTIFIED SELF</w:t>
      </w:r>
    </w:p>
    <w:p>
      <w:pPr>
        <w:spacing w:before="0" w:after="40"/>
        <w:jc w:val="center"/>
      </w:pPr>
      <w:r>
        <w:rPr>
          <w:rFonts w:ascii="Calibri" w:cs="Calibri" w:eastAsia="Calibri" w:hAnsi="Calibri"/>
          <w:color w:val="4A4A4A"/>
          <w:sz w:val="28"/>
          <w:szCs w:val="28"/>
        </w:rPr>
        <w:t xml:space="preserve">Human Activity Recognition &amp; Automated Rep Counting — Technical Report</w:t>
      </w:r>
    </w:p>
    <w:p>
      <w:pPr>
        <w:spacing w:before="0" w:after="80"/>
        <w:jc w:val="center"/>
      </w:pPr>
      <w:r>
        <w:rPr>
          <w:rFonts w:ascii="Calibri" w:cs="Calibri" w:eastAsia="Calibri" w:hAnsi="Calibri"/>
          <w:b/>
          <w:bCs/>
          <w:color w:val="B8860B"/>
          <w:sz w:val="22"/>
          <w:szCs w:val="22"/>
        </w:rPr>
        <w:t xml:space="preserve">Technical Project Report  ·  George Dogo  ·  2026</w:t>
      </w:r>
    </w:p>
    <w:p>
      <w:pPr>
        <w:pBdr>
          <w:bottom w:val="single" w:color="3B1278" w:sz="8" w:space="4"/>
        </w:pBdr>
        <w:spacing w:before="60" w:after="0"/>
      </w:pPr>
      <w:r>
        <w:t xml:space="preserve"/>
      </w:r>
    </w:p>
    <w:p>
      <w:pPr>
        <w:spacing w:before="40" w:after="40"/>
      </w:pPr>
      <w:r>
        <w:t xml:space="preserve"/>
      </w:r>
    </w:p>
    <w:p>
      <w:pPr>
        <w:pStyle w:val="Heading1"/>
        <w:pBdr>
          <w:bottom w:val="single" w:color="3B1278" w:sz="8" w:space="3"/>
        </w:pBdr>
        <w:spacing w:before="360" w:after="100"/>
      </w:pPr>
      <w:r>
        <w:rPr>
          <w:rFonts w:ascii="Calibri" w:cs="Calibri" w:eastAsia="Calibri" w:hAnsi="Calibri"/>
          <w:b/>
          <w:bCs/>
          <w:color w:val="3B1278"/>
          <w:sz w:val="30"/>
          <w:szCs w:val="30"/>
        </w:rPr>
        <w:t xml:space="preserve">1. Executive Summary</w:t>
      </w:r>
    </w:p>
    <w:p>
      <w:pPr>
        <w:spacing w:before="50" w:after="70"/>
      </w:pPr>
      <w:r>
        <w:rPr>
          <w:rFonts w:ascii="Calibri" w:cs="Calibri" w:eastAsia="Calibri" w:hAnsi="Calibri"/>
          <w:color w:val="1E1E1E"/>
          <w:sz w:val="21"/>
          <w:szCs w:val="21"/>
        </w:rPr>
        <w:t xml:space="preserve">This report documents the design and implementation of an end-to-end Human Activity Recognition (HAR) system for gym workout analysis. The system processes raw 6-axis wrist-worn sensor data (accelerometer and gyroscope at 12.5 Hz) through a complete signal processing, feature engineering, and machine learning pipeline to automatically classify exercise types and count repetitions.</w:t>
      </w:r>
    </w:p>
    <w:p>
      <w:pPr>
        <w:spacing w:before="50" w:after="70"/>
      </w:pPr>
      <w:r>
        <w:rPr>
          <w:rFonts w:ascii="Calibri" w:cs="Calibri" w:eastAsia="Calibri" w:hAnsi="Calibri"/>
          <w:color w:val="1E1E1E"/>
          <w:sz w:val="21"/>
          <w:szCs w:val="21"/>
        </w:rPr>
        <w:t xml:space="preserve">The final Random Forest classifier achieves 94.1% exercise classification accuracy across five compound exercises. The automated rep counting algorithm achieves ±1 rep accuracy on 92% of sets (MAE = 0.34 reps). The project is structured as a proper installable Python package with setup.py and a pinned Conda environment for full reproducibility.</w:t>
      </w:r>
    </w:p>
    <w:p>
      <w:pPr>
        <w:spacing w:before="60" w:after="60"/>
      </w:pPr>
      <w:r>
        <w:t xml:space="preserve"/>
      </w:r>
    </w:p>
    <w:p>
      <w:pPr>
        <w:pStyle w:val="Heading1"/>
        <w:pBdr>
          <w:bottom w:val="single" w:color="3B1278" w:sz="8" w:space="3"/>
        </w:pBdr>
        <w:spacing w:before="360" w:after="100"/>
      </w:pPr>
      <w:r>
        <w:rPr>
          <w:rFonts w:ascii="Calibri" w:cs="Calibri" w:eastAsia="Calibri" w:hAnsi="Calibri"/>
          <w:b/>
          <w:bCs/>
          <w:color w:val="3B1278"/>
          <w:sz w:val="30"/>
          <w:szCs w:val="30"/>
        </w:rPr>
        <w:t xml:space="preserve">2. Project Motivation &amp; The Quantified Self</w:t>
      </w:r>
    </w:p>
    <w:p>
      <w:pPr>
        <w:pStyle w:val="Heading2"/>
        <w:spacing w:before="240" w:after="60"/>
      </w:pPr>
      <w:r>
        <w:rPr>
          <w:rFonts w:ascii="Calibri" w:cs="Calibri" w:eastAsia="Calibri" w:hAnsi="Calibri"/>
          <w:b/>
          <w:bCs/>
          <w:color w:val="3B1278"/>
          <w:sz w:val="24"/>
          <w:szCs w:val="24"/>
        </w:rPr>
        <w:t xml:space="preserve">2.1 The Quantified Self Framework</w:t>
      </w:r>
    </w:p>
    <w:p>
      <w:pPr>
        <w:spacing w:before="50" w:after="70"/>
      </w:pPr>
      <w:r>
        <w:rPr>
          <w:rFonts w:ascii="Calibri" w:cs="Calibri" w:eastAsia="Calibri" w:hAnsi="Calibri"/>
          <w:color w:val="1E1E1E"/>
          <w:sz w:val="21"/>
          <w:szCs w:val="21"/>
        </w:rPr>
        <w:t xml:space="preserve">The Quantified Self movement applies rigorous scientific measurement to personal behaviour data. In a fitness context, this transforms subjective training perception into objective, longitudinal metrics: progression rates, fatigue signatures, technique consistency, and plateau detection.</w:t>
      </w:r>
    </w:p>
    <w:p>
      <w:pPr>
        <w:spacing w:before="50" w:after="70"/>
      </w:pPr>
      <w:r>
        <w:rPr>
          <w:rFonts w:ascii="Calibri" w:cs="Calibri" w:eastAsia="Calibri" w:hAnsi="Calibri"/>
          <w:color w:val="1E1E1E"/>
          <w:sz w:val="21"/>
          <w:szCs w:val="21"/>
        </w:rPr>
        <w:t xml:space="preserve">Commercial fitness trackers provide black-box implementations. This project provides a transparent, fully explainable, and customisable alternative that exposes every algorithmic decision — from filter cutoff frequency to peak detection threshold — making it a genuine research-grade tool.</w:t>
      </w:r>
    </w:p>
    <w:p>
      <w:pPr>
        <w:pStyle w:val="Heading2"/>
        <w:spacing w:before="240" w:after="60"/>
      </w:pPr>
      <w:r>
        <w:rPr>
          <w:rFonts w:ascii="Calibri" w:cs="Calibri" w:eastAsia="Calibri" w:hAnsi="Calibri"/>
          <w:b/>
          <w:bCs/>
          <w:color w:val="3B1278"/>
          <w:sz w:val="24"/>
          <w:szCs w:val="24"/>
        </w:rPr>
        <w:t xml:space="preserve">2.2 System Objectives</w:t>
      </w:r>
    </w:p>
    <w:p>
      <w:pPr>
        <w:pStyle w:val="ListParagraph"/>
        <w:numPr>
          <w:ilvl w:val="0"/>
          <w:numId w:val="2"/>
        </w:numPr>
        <w:spacing w:before="30" w:after="30"/>
      </w:pPr>
      <w:r>
        <w:rPr>
          <w:rFonts w:ascii="Calibri" w:cs="Calibri" w:eastAsia="Calibri" w:hAnsi="Calibri"/>
          <w:color w:val="1E1E1E"/>
          <w:sz w:val="21"/>
          <w:szCs w:val="21"/>
        </w:rPr>
        <w:t xml:space="preserve">Exercise Classification — identify which of 5 compound exercises is being performed from sensor data alone</w:t>
      </w:r>
    </w:p>
    <w:p>
      <w:pPr>
        <w:pStyle w:val="ListParagraph"/>
        <w:numPr>
          <w:ilvl w:val="0"/>
          <w:numId w:val="2"/>
        </w:numPr>
        <w:spacing w:before="30" w:after="30"/>
      </w:pPr>
      <w:r>
        <w:rPr>
          <w:rFonts w:ascii="Calibri" w:cs="Calibri" w:eastAsia="Calibri" w:hAnsi="Calibri"/>
          <w:color w:val="1E1E1E"/>
          <w:sz w:val="21"/>
          <w:szCs w:val="21"/>
        </w:rPr>
        <w:t xml:space="preserve">Rep Counting — automatically count repetitions per set with commercial-tracker-grade accuracy</w:t>
      </w:r>
    </w:p>
    <w:p>
      <w:pPr>
        <w:pStyle w:val="ListParagraph"/>
        <w:numPr>
          <w:ilvl w:val="0"/>
          <w:numId w:val="2"/>
        </w:numPr>
        <w:spacing w:before="30" w:after="30"/>
      </w:pPr>
      <w:r>
        <w:rPr>
          <w:rFonts w:ascii="Calibri" w:cs="Calibri" w:eastAsia="Calibri" w:hAnsi="Calibri"/>
          <w:color w:val="1E1E1E"/>
          <w:sz w:val="21"/>
          <w:szCs w:val="21"/>
        </w:rPr>
        <w:t xml:space="preserve">Quantified Self Analytics — generate objective workout metrics enabling longitudinal performance tracking</w:t>
      </w:r>
    </w:p>
    <w:p>
      <w:pPr>
        <w:spacing w:before="60" w:after="60"/>
      </w:pPr>
      <w:r>
        <w:t xml:space="preserve"/>
      </w:r>
    </w:p>
    <w:p>
      <w:pPr>
        <w:pStyle w:val="Heading1"/>
        <w:pBdr>
          <w:bottom w:val="single" w:color="3B1278" w:sz="8" w:space="3"/>
        </w:pBdr>
        <w:spacing w:before="360" w:after="100"/>
      </w:pPr>
      <w:r>
        <w:rPr>
          <w:rFonts w:ascii="Calibri" w:cs="Calibri" w:eastAsia="Calibri" w:hAnsi="Calibri"/>
          <w:b/>
          <w:bCs/>
          <w:color w:val="3B1278"/>
          <w:sz w:val="30"/>
          <w:szCs w:val="30"/>
        </w:rPr>
        <w:t xml:space="preserve">3. Dataset &amp; Sensor Specifications</w:t>
      </w:r>
    </w:p>
    <w:p>
      <w:pPr>
        <w:pStyle w:val="Heading2"/>
        <w:spacing w:before="240" w:after="60"/>
      </w:pPr>
      <w:r>
        <w:rPr>
          <w:rFonts w:ascii="Calibri" w:cs="Calibri" w:eastAsia="Calibri" w:hAnsi="Calibri"/>
          <w:b/>
          <w:bCs/>
          <w:color w:val="3B1278"/>
          <w:sz w:val="24"/>
          <w:szCs w:val="24"/>
        </w:rPr>
        <w:t xml:space="preserve">3.1 Hardware</w:t>
      </w:r>
    </w:p>
    <w:p>
      <w:pPr>
        <w:spacing w:before="50" w:after="70"/>
      </w:pPr>
      <w:r>
        <w:rPr>
          <w:rFonts w:ascii="Calibri" w:cs="Calibri" w:eastAsia="Calibri" w:hAnsi="Calibri"/>
          <w:color w:val="1E1E1E"/>
          <w:sz w:val="21"/>
          <w:szCs w:val="21"/>
        </w:rPr>
        <w:t xml:space="preserve">MetaMotion (MbientLab) wristband sensor — medical-grade inertial measurement unit (IMU) capturing 6-axis motion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3B1278" w:val="clear"/>
            <w:tcMar>
              <w:top w:type="dxa" w:w="80"/>
              <w:left w:type="dxa" w:w="120"/>
              <w:bottom w:type="dxa" w:w="80"/>
              <w:right w:type="dxa" w:w="120"/>
            </w:tcMar>
          </w:tcPr>
          <w:p>
            <w:r>
              <w:rPr>
                <w:rFonts w:ascii="Calibri" w:cs="Calibri" w:eastAsia="Calibri" w:hAnsi="Calibri"/>
                <w:b/>
                <w:bCs/>
                <w:color w:val="FFFFFF"/>
                <w:sz w:val="21"/>
                <w:szCs w:val="21"/>
              </w:rPr>
              <w:t xml:space="preserve">Specification</w:t>
            </w:r>
          </w:p>
        </w:tc>
        <w:tc>
          <w:tcPr>
            <w:tcW w:type="dxa" w:w="4680"/>
            <w:tcBorders>
              <w:top w:val="single" w:color="CCCCCC" w:sz="1"/>
              <w:left w:val="single" w:color="CCCCCC" w:sz="1"/>
              <w:bottom w:val="single" w:color="CCCCCC" w:sz="1"/>
              <w:right w:val="single" w:color="CCCCCC" w:sz="1"/>
            </w:tcBorders>
            <w:shd w:fill="3B1278" w:val="clear"/>
            <w:tcMar>
              <w:top w:type="dxa" w:w="80"/>
              <w:left w:type="dxa" w:w="120"/>
              <w:bottom w:type="dxa" w:w="80"/>
              <w:right w:type="dxa" w:w="120"/>
            </w:tcMar>
          </w:tcPr>
          <w:p>
            <w:r>
              <w:rPr>
                <w:rFonts w:ascii="Calibri" w:cs="Calibri" w:eastAsia="Calibri" w:hAnsi="Calibri"/>
                <w:b/>
                <w:bCs/>
                <w:color w:val="FFFFFF"/>
                <w:sz w:val="21"/>
                <w:szCs w:val="21"/>
              </w:rPr>
              <w:t xml:space="preserve">Value</w:t>
            </w:r>
          </w:p>
        </w:tc>
      </w:tr>
      <w:tr>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bCs/>
                <w:color w:val="1E1E1E"/>
                <w:sz w:val="20"/>
                <w:szCs w:val="20"/>
              </w:rPr>
              <w:t xml:space="preserve">Sampling Rate</w:t>
            </w:r>
          </w:p>
        </w:tc>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12.5 Hz (80ms between readings)</w:t>
            </w:r>
          </w:p>
        </w:tc>
      </w:tr>
      <w:tr>
        <w:tc>
          <w:tcPr>
            <w:tcW w:type="dxa" w:w="468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bCs/>
                <w:color w:val="1E1E1E"/>
                <w:sz w:val="20"/>
                <w:szCs w:val="20"/>
              </w:rPr>
              <w:t xml:space="preserve">Accelerometer Range</w:t>
            </w:r>
          </w:p>
        </w:tc>
        <w:tc>
          <w:tcPr>
            <w:tcW w:type="dxa" w:w="468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±16 g</w:t>
            </w:r>
          </w:p>
        </w:tc>
      </w:tr>
      <w:tr>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bCs/>
                <w:color w:val="1E1E1E"/>
                <w:sz w:val="20"/>
                <w:szCs w:val="20"/>
              </w:rPr>
              <w:t xml:space="preserve">Gyroscope Range</w:t>
            </w:r>
          </w:p>
        </w:tc>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±2000 °/sec</w:t>
            </w:r>
          </w:p>
        </w:tc>
      </w:tr>
      <w:tr>
        <w:tc>
          <w:tcPr>
            <w:tcW w:type="dxa" w:w="468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bCs/>
                <w:color w:val="1E1E1E"/>
                <w:sz w:val="20"/>
                <w:szCs w:val="20"/>
              </w:rPr>
              <w:t xml:space="preserve">Accelerometer Resolution</w:t>
            </w:r>
          </w:p>
        </w:tc>
        <w:tc>
          <w:tcPr>
            <w:tcW w:type="dxa" w:w="468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0.001 g</w:t>
            </w:r>
          </w:p>
        </w:tc>
      </w:tr>
      <w:tr>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bCs/>
                <w:color w:val="1E1E1E"/>
                <w:sz w:val="20"/>
                <w:szCs w:val="20"/>
              </w:rPr>
              <w:t xml:space="preserve">Gyroscope Resolution</w:t>
            </w:r>
          </w:p>
        </w:tc>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0.061 °/sec</w:t>
            </w:r>
          </w:p>
        </w:tc>
      </w:tr>
      <w:tr>
        <w:tc>
          <w:tcPr>
            <w:tcW w:type="dxa" w:w="468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bCs/>
                <w:color w:val="1E1E1E"/>
                <w:sz w:val="20"/>
                <w:szCs w:val="20"/>
              </w:rPr>
              <w:t xml:space="preserve">Battery Life</w:t>
            </w:r>
          </w:p>
        </w:tc>
        <w:tc>
          <w:tcPr>
            <w:tcW w:type="dxa" w:w="468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4+ hours continuous recording</w:t>
            </w:r>
          </w:p>
        </w:tc>
      </w:tr>
      <w:tr>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bCs/>
                <w:color w:val="1E1E1E"/>
                <w:sz w:val="20"/>
                <w:szCs w:val="20"/>
              </w:rPr>
              <w:t xml:space="preserve">Data Format</w:t>
            </w:r>
          </w:p>
        </w:tc>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CSV per exercise set</w:t>
            </w:r>
          </w:p>
        </w:tc>
      </w:tr>
    </w:tbl>
    <w:p>
      <w:pPr>
        <w:pStyle w:val="Heading2"/>
        <w:spacing w:before="240" w:after="60"/>
      </w:pPr>
      <w:r>
        <w:rPr>
          <w:rFonts w:ascii="Calibri" w:cs="Calibri" w:eastAsia="Calibri" w:hAnsi="Calibri"/>
          <w:b/>
          <w:bCs/>
          <w:color w:val="3B1278"/>
          <w:sz w:val="24"/>
          <w:szCs w:val="24"/>
        </w:rPr>
        <w:t xml:space="preserve">3.2 Exercise Classes &amp; Biomechanical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3B1278" w:val="clear"/>
            <w:tcMar>
              <w:top w:type="dxa" w:w="80"/>
              <w:left w:type="dxa" w:w="120"/>
              <w:bottom w:type="dxa" w:w="80"/>
              <w:right w:type="dxa" w:w="120"/>
            </w:tcMar>
          </w:tcPr>
          <w:p>
            <w:r>
              <w:rPr>
                <w:rFonts w:ascii="Calibri" w:cs="Calibri" w:eastAsia="Calibri" w:hAnsi="Calibri"/>
                <w:b/>
                <w:bCs/>
                <w:color w:val="FFFFFF"/>
                <w:sz w:val="21"/>
                <w:szCs w:val="21"/>
              </w:rPr>
              <w:t xml:space="preserve">Exercise</w:t>
            </w:r>
          </w:p>
        </w:tc>
        <w:tc>
          <w:tcPr>
            <w:tcW w:type="dxa" w:w="2340"/>
            <w:tcBorders>
              <w:top w:val="single" w:color="CCCCCC" w:sz="1"/>
              <w:left w:val="single" w:color="CCCCCC" w:sz="1"/>
              <w:bottom w:val="single" w:color="CCCCCC" w:sz="1"/>
              <w:right w:val="single" w:color="CCCCCC" w:sz="1"/>
            </w:tcBorders>
            <w:shd w:fill="3B1278" w:val="clear"/>
            <w:tcMar>
              <w:top w:type="dxa" w:w="80"/>
              <w:left w:type="dxa" w:w="120"/>
              <w:bottom w:type="dxa" w:w="80"/>
              <w:right w:type="dxa" w:w="120"/>
            </w:tcMar>
          </w:tcPr>
          <w:p>
            <w:r>
              <w:rPr>
                <w:rFonts w:ascii="Calibri" w:cs="Calibri" w:eastAsia="Calibri" w:hAnsi="Calibri"/>
                <w:b/>
                <w:bCs/>
                <w:color w:val="FFFFFF"/>
                <w:sz w:val="21"/>
                <w:szCs w:val="21"/>
              </w:rPr>
              <w:t xml:space="preserve">Primary Signal Axis</w:t>
            </w:r>
          </w:p>
        </w:tc>
        <w:tc>
          <w:tcPr>
            <w:tcW w:type="dxa" w:w="2340"/>
            <w:tcBorders>
              <w:top w:val="single" w:color="CCCCCC" w:sz="1"/>
              <w:left w:val="single" w:color="CCCCCC" w:sz="1"/>
              <w:bottom w:val="single" w:color="CCCCCC" w:sz="1"/>
              <w:right w:val="single" w:color="CCCCCC" w:sz="1"/>
            </w:tcBorders>
            <w:shd w:fill="3B1278" w:val="clear"/>
            <w:tcMar>
              <w:top w:type="dxa" w:w="80"/>
              <w:left w:type="dxa" w:w="120"/>
              <w:bottom w:type="dxa" w:w="80"/>
              <w:right w:type="dxa" w:w="120"/>
            </w:tcMar>
          </w:tcPr>
          <w:p>
            <w:r>
              <w:rPr>
                <w:rFonts w:ascii="Calibri" w:cs="Calibri" w:eastAsia="Calibri" w:hAnsi="Calibri"/>
                <w:b/>
                <w:bCs/>
                <w:color w:val="FFFFFF"/>
                <w:sz w:val="21"/>
                <w:szCs w:val="21"/>
              </w:rPr>
              <w:t xml:space="preserve">Dominant Freq. (Hz)</w:t>
            </w:r>
          </w:p>
        </w:tc>
        <w:tc>
          <w:tcPr>
            <w:tcW w:type="dxa" w:w="2340"/>
            <w:tcBorders>
              <w:top w:val="single" w:color="CCCCCC" w:sz="1"/>
              <w:left w:val="single" w:color="CCCCCC" w:sz="1"/>
              <w:bottom w:val="single" w:color="CCCCCC" w:sz="1"/>
              <w:right w:val="single" w:color="CCCCCC" w:sz="1"/>
            </w:tcBorders>
            <w:shd w:fill="3B1278" w:val="clear"/>
            <w:tcMar>
              <w:top w:type="dxa" w:w="80"/>
              <w:left w:type="dxa" w:w="120"/>
              <w:bottom w:type="dxa" w:w="80"/>
              <w:right w:type="dxa" w:w="120"/>
            </w:tcMar>
          </w:tcPr>
          <w:p>
            <w:r>
              <w:rPr>
                <w:rFonts w:ascii="Calibri" w:cs="Calibri" w:eastAsia="Calibri" w:hAnsi="Calibri"/>
                <w:b/>
                <w:bCs/>
                <w:color w:val="FFFFFF"/>
                <w:sz w:val="21"/>
                <w:szCs w:val="21"/>
              </w:rPr>
              <w:t xml:space="preserve">Notes</w:t>
            </w:r>
          </w:p>
        </w:tc>
      </w:tr>
      <w:tr>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bCs/>
                <w:color w:val="1E1E1E"/>
                <w:sz w:val="20"/>
                <w:szCs w:val="20"/>
              </w:rPr>
              <w:t xml:space="preserve">Barbell Back Squat</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acc_z (vertical)</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0.38–0.52</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Clear vertical oscillation; easiest to classify</w:t>
            </w:r>
          </w:p>
        </w:tc>
      </w:tr>
      <w:tr>
        <w:tc>
          <w:tcPr>
            <w:tcW w:type="dxa" w:w="234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bCs/>
                <w:color w:val="1E1E1E"/>
                <w:sz w:val="20"/>
                <w:szCs w:val="20"/>
              </w:rPr>
              <w:t xml:space="preserve">Bench Press</w:t>
            </w:r>
          </w:p>
        </w:tc>
        <w:tc>
          <w:tcPr>
            <w:tcW w:type="dxa" w:w="234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acc_y (horizontal push)</w:t>
            </w:r>
          </w:p>
        </w:tc>
        <w:tc>
          <w:tcPr>
            <w:tcW w:type="dxa" w:w="234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0.47–0.58</w:t>
            </w:r>
          </w:p>
        </w:tc>
        <w:tc>
          <w:tcPr>
            <w:tcW w:type="dxa" w:w="234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Horizontal push; gyr_x differentiates from OHP</w:t>
            </w:r>
          </w:p>
        </w:tc>
      </w:tr>
      <w:tr>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bCs/>
                <w:color w:val="1E1E1E"/>
                <w:sz w:val="20"/>
                <w:szCs w:val="20"/>
              </w:rPr>
              <w:t xml:space="preserve">Barbell Deadlift</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acc_z + acc_y combined</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0.30–0.42</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Slowest frequency; hip-hinge signature on gyr_y</w:t>
            </w:r>
          </w:p>
        </w:tc>
      </w:tr>
      <w:tr>
        <w:tc>
          <w:tcPr>
            <w:tcW w:type="dxa" w:w="234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bCs/>
                <w:color w:val="1E1E1E"/>
                <w:sz w:val="20"/>
                <w:szCs w:val="20"/>
              </w:rPr>
              <w:t xml:space="preserve">Overhead Press (OHP)</w:t>
            </w:r>
          </w:p>
        </w:tc>
        <w:tc>
          <w:tcPr>
            <w:tcW w:type="dxa" w:w="234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acc_z (vertical press)</w:t>
            </w:r>
          </w:p>
        </w:tc>
        <w:tc>
          <w:tcPr>
            <w:tcW w:type="dxa" w:w="234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0.44–0.55</w:t>
            </w:r>
          </w:p>
        </w:tc>
        <w:tc>
          <w:tcPr>
            <w:tcW w:type="dxa" w:w="234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Similar to squat in vertical axis; gyr rotation key</w:t>
            </w:r>
          </w:p>
        </w:tc>
      </w:tr>
      <w:tr>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bCs/>
                <w:color w:val="1E1E1E"/>
                <w:sz w:val="20"/>
                <w:szCs w:val="20"/>
              </w:rPr>
              <w:t xml:space="preserve">Barbell Row</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acc_y (horizontal pull)</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0.44–0.56</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Horizontal pull; opposite gyr_y direction vs bench</w:t>
            </w:r>
          </w:p>
        </w:tc>
      </w:tr>
      <w:tr>
        <w:tc>
          <w:tcPr>
            <w:tcW w:type="dxa" w:w="234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bCs/>
                <w:color w:val="1E1E1E"/>
                <w:sz w:val="20"/>
                <w:szCs w:val="20"/>
              </w:rPr>
              <w:t xml:space="preserve">Rest</w:t>
            </w:r>
          </w:p>
        </w:tc>
        <w:tc>
          <w:tcPr>
            <w:tcW w:type="dxa" w:w="234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All axes</w:t>
            </w:r>
          </w:p>
        </w:tc>
        <w:tc>
          <w:tcPr>
            <w:tcW w:type="dxa" w:w="234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&lt;0.10</w:t>
            </w:r>
          </w:p>
        </w:tc>
        <w:tc>
          <w:tcPr>
            <w:tcW w:type="dxa" w:w="234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Near-zero signal; ~99% classification accuracy</w:t>
            </w:r>
          </w:p>
        </w:tc>
      </w:tr>
    </w:tbl>
    <w:p>
      <w:pPr>
        <w:spacing w:before="60" w:after="60"/>
      </w:pPr>
      <w:r>
        <w:t xml:space="preserve"/>
      </w:r>
    </w:p>
    <w:p>
      <w:pPr>
        <w:pStyle w:val="Heading1"/>
        <w:pBdr>
          <w:bottom w:val="single" w:color="3B1278" w:sz="8" w:space="3"/>
        </w:pBdr>
        <w:spacing w:before="360" w:after="100"/>
      </w:pPr>
      <w:r>
        <w:rPr>
          <w:rFonts w:ascii="Calibri" w:cs="Calibri" w:eastAsia="Calibri" w:hAnsi="Calibri"/>
          <w:b/>
          <w:bCs/>
          <w:color w:val="3B1278"/>
          <w:sz w:val="30"/>
          <w:szCs w:val="30"/>
        </w:rPr>
        <w:t xml:space="preserve">4. Signal Processing Pipeline</w:t>
      </w:r>
    </w:p>
    <w:p>
      <w:pPr>
        <w:pStyle w:val="Heading2"/>
        <w:spacing w:before="240" w:after="60"/>
      </w:pPr>
      <w:r>
        <w:rPr>
          <w:rFonts w:ascii="Calibri" w:cs="Calibri" w:eastAsia="Calibri" w:hAnsi="Calibri"/>
          <w:b/>
          <w:bCs/>
          <w:color w:val="3B1278"/>
          <w:sz w:val="24"/>
          <w:szCs w:val="24"/>
        </w:rPr>
        <w:t xml:space="preserve">4.1 Outlier Detection — Chauvenet's Criterion</w:t>
      </w:r>
    </w:p>
    <w:p>
      <w:pPr>
        <w:spacing w:before="50" w:after="70"/>
      </w:pPr>
      <w:r>
        <w:rPr>
          <w:rFonts w:ascii="Calibri" w:cs="Calibri" w:eastAsia="Calibri" w:hAnsi="Calibri"/>
          <w:color w:val="1E1E1E"/>
          <w:sz w:val="21"/>
          <w:szCs w:val="21"/>
        </w:rPr>
        <w:t xml:space="preserve">Raw sensor data contains implausible readings from sensor initialisation, physical contact loss, and electromagnetic interference. Chauvenet's Criterion flags observations whose probability under a fitted normal distribution falls below 1/(2N), where N is the sample count. This is a principled, distribution-aware method that adapts the rejection criterion to the dataset size — more conservative than fixed IQR thresholds.</w:t>
      </w:r>
    </w:p>
    <w:p>
      <w:pPr>
        <w:spacing w:before="50" w:after="70"/>
      </w:pPr>
      <w:r>
        <w:rPr>
          <w:rFonts w:ascii="Calibri" w:cs="Calibri" w:eastAsia="Calibri" w:hAnsi="Calibri"/>
          <w:color w:val="1E1E1E"/>
          <w:sz w:val="21"/>
          <w:szCs w:val="21"/>
        </w:rPr>
        <w:t xml:space="preserve">Application: per axis, per exercise class. Flagged values are set to NaN and forward-filled to preserve temporal continuity without introducing artificial signal discontinuities.</w:t>
      </w:r>
    </w:p>
    <w:p>
      <w:pPr>
        <w:pStyle w:val="Heading2"/>
        <w:spacing w:before="240" w:after="60"/>
      </w:pPr>
      <w:r>
        <w:rPr>
          <w:rFonts w:ascii="Calibri" w:cs="Calibri" w:eastAsia="Calibri" w:hAnsi="Calibri"/>
          <w:b/>
          <w:bCs/>
          <w:color w:val="3B1278"/>
          <w:sz w:val="24"/>
          <w:szCs w:val="24"/>
        </w:rPr>
        <w:t xml:space="preserve">4.2 Butterworth Low-Pass Filter</w:t>
      </w:r>
    </w:p>
    <w:p>
      <w:pPr>
        <w:spacing w:before="50" w:after="70"/>
      </w:pPr>
      <w:r>
        <w:rPr>
          <w:rFonts w:ascii="Calibri" w:cs="Calibri" w:eastAsia="Calibri" w:hAnsi="Calibri"/>
          <w:color w:val="1E1E1E"/>
          <w:sz w:val="21"/>
          <w:szCs w:val="21"/>
        </w:rPr>
        <w:t xml:space="preserve">The Butterworth filter attenuates frequency components above the cutoff while preserving components below it with maximally flat frequency response (no passband ripple). Implementation via scipy.signal.butter() for coefficient design and scipy.signal.filtfilt() for zero-phase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3B1278" w:val="clear"/>
            <w:tcMar>
              <w:top w:type="dxa" w:w="80"/>
              <w:left w:type="dxa" w:w="120"/>
              <w:bottom w:type="dxa" w:w="80"/>
              <w:right w:type="dxa" w:w="120"/>
            </w:tcMar>
          </w:tcPr>
          <w:p>
            <w:r>
              <w:rPr>
                <w:rFonts w:ascii="Calibri" w:cs="Calibri" w:eastAsia="Calibri" w:hAnsi="Calibri"/>
                <w:b/>
                <w:bCs/>
                <w:color w:val="FFFFFF"/>
                <w:sz w:val="21"/>
                <w:szCs w:val="21"/>
              </w:rPr>
              <w:t xml:space="preserve">Parameter</w:t>
            </w:r>
          </w:p>
        </w:tc>
        <w:tc>
          <w:tcPr>
            <w:tcW w:type="dxa" w:w="3120"/>
            <w:tcBorders>
              <w:top w:val="single" w:color="CCCCCC" w:sz="1"/>
              <w:left w:val="single" w:color="CCCCCC" w:sz="1"/>
              <w:bottom w:val="single" w:color="CCCCCC" w:sz="1"/>
              <w:right w:val="single" w:color="CCCCCC" w:sz="1"/>
            </w:tcBorders>
            <w:shd w:fill="3B1278" w:val="clear"/>
            <w:tcMar>
              <w:top w:type="dxa" w:w="80"/>
              <w:left w:type="dxa" w:w="120"/>
              <w:bottom w:type="dxa" w:w="80"/>
              <w:right w:type="dxa" w:w="120"/>
            </w:tcMar>
          </w:tcPr>
          <w:p>
            <w:r>
              <w:rPr>
                <w:rFonts w:ascii="Calibri" w:cs="Calibri" w:eastAsia="Calibri" w:hAnsi="Calibri"/>
                <w:b/>
                <w:bCs/>
                <w:color w:val="FFFFFF"/>
                <w:sz w:val="21"/>
                <w:szCs w:val="21"/>
              </w:rPr>
              <w:t xml:space="preserve">Value</w:t>
            </w:r>
          </w:p>
        </w:tc>
        <w:tc>
          <w:tcPr>
            <w:tcW w:type="dxa" w:w="3120"/>
            <w:tcBorders>
              <w:top w:val="single" w:color="CCCCCC" w:sz="1"/>
              <w:left w:val="single" w:color="CCCCCC" w:sz="1"/>
              <w:bottom w:val="single" w:color="CCCCCC" w:sz="1"/>
              <w:right w:val="single" w:color="CCCCCC" w:sz="1"/>
            </w:tcBorders>
            <w:shd w:fill="3B1278" w:val="clear"/>
            <w:tcMar>
              <w:top w:type="dxa" w:w="80"/>
              <w:left w:type="dxa" w:w="120"/>
              <w:bottom w:type="dxa" w:w="80"/>
              <w:right w:type="dxa" w:w="120"/>
            </w:tcMar>
          </w:tcPr>
          <w:p>
            <w:r>
              <w:rPr>
                <w:rFonts w:ascii="Calibri" w:cs="Calibri" w:eastAsia="Calibri" w:hAnsi="Calibri"/>
                <w:b/>
                <w:bCs/>
                <w:color w:val="FFFFFF"/>
                <w:sz w:val="21"/>
                <w:szCs w:val="21"/>
              </w:rPr>
              <w:t xml:space="preserve">Justification</w:t>
            </w:r>
          </w:p>
        </w:tc>
      </w:tr>
      <w:tr>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bCs/>
                <w:color w:val="1E1E1E"/>
                <w:sz w:val="20"/>
                <w:szCs w:val="20"/>
              </w:rPr>
              <w:t xml:space="preserve">Filter type</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Butterworth</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Maximally flat passband — no signal distortion</w:t>
            </w:r>
          </w:p>
        </w:tc>
      </w:tr>
      <w:tr>
        <w:tc>
          <w:tcPr>
            <w:tcW w:type="dxa" w:w="312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bCs/>
                <w:color w:val="1E1E1E"/>
                <w:sz w:val="20"/>
                <w:szCs w:val="20"/>
              </w:rPr>
              <w:t xml:space="preserve">Pass type</w:t>
            </w:r>
          </w:p>
        </w:tc>
        <w:tc>
          <w:tcPr>
            <w:tcW w:type="dxa" w:w="312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Low-pass</w:t>
            </w:r>
          </w:p>
        </w:tc>
        <w:tc>
          <w:tcPr>
            <w:tcW w:type="dxa" w:w="312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Remove high-frequency noise above exercise band</w:t>
            </w:r>
          </w:p>
        </w:tc>
      </w:tr>
      <w:tr>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bCs/>
                <w:color w:val="1E1E1E"/>
                <w:sz w:val="20"/>
                <w:szCs w:val="20"/>
              </w:rPr>
              <w:t xml:space="preserve">Cutoff frequency</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1.3 Hz</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Exercise motion: 0.3–1.0 Hz; margin to 1.3 Hz</w:t>
            </w:r>
          </w:p>
        </w:tc>
      </w:tr>
      <w:tr>
        <w:tc>
          <w:tcPr>
            <w:tcW w:type="dxa" w:w="312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bCs/>
                <w:color w:val="1E1E1E"/>
                <w:sz w:val="20"/>
                <w:szCs w:val="20"/>
              </w:rPr>
              <w:t xml:space="preserve">Filter order</w:t>
            </w:r>
          </w:p>
        </w:tc>
        <w:tc>
          <w:tcPr>
            <w:tcW w:type="dxa" w:w="312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5</w:t>
            </w:r>
          </w:p>
        </w:tc>
        <w:tc>
          <w:tcPr>
            <w:tcW w:type="dxa" w:w="312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Steeper roll-off than lower orders; stable</w:t>
            </w:r>
          </w:p>
        </w:tc>
      </w:tr>
      <w:tr>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bCs/>
                <w:color w:val="1E1E1E"/>
                <w:sz w:val="20"/>
                <w:szCs w:val="20"/>
              </w:rPr>
              <w:t xml:space="preserve">Application</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filtfilt (zero-phase)</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Prevents phase delay that would misalign peaks</w:t>
            </w:r>
          </w:p>
        </w:tc>
      </w:tr>
      <w:tr>
        <w:tc>
          <w:tcPr>
            <w:tcW w:type="dxa" w:w="312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bCs/>
                <w:color w:val="1E1E1E"/>
                <w:sz w:val="20"/>
                <w:szCs w:val="20"/>
              </w:rPr>
              <w:t xml:space="preserve">Sampling frequency</w:t>
            </w:r>
          </w:p>
        </w:tc>
        <w:tc>
          <w:tcPr>
            <w:tcW w:type="dxa" w:w="312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12.5 Hz</w:t>
            </w:r>
          </w:p>
        </w:tc>
        <w:tc>
          <w:tcPr>
            <w:tcW w:type="dxa" w:w="312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Nyquist: 6.25 Hz; cutoff well within Nyquist range</w:t>
            </w:r>
          </w:p>
        </w:tc>
      </w:tr>
    </w:tbl>
    <w:p>
      <w:pPr>
        <w:spacing w:before="60" w:after="60"/>
      </w:pPr>
      <w:r>
        <w:t xml:space="preserve"/>
      </w:r>
    </w:p>
    <w:p>
      <w:pPr>
        <w:pStyle w:val="Heading1"/>
        <w:pBdr>
          <w:bottom w:val="single" w:color="3B1278" w:sz="8" w:space="3"/>
        </w:pBdr>
        <w:spacing w:before="360" w:after="100"/>
      </w:pPr>
      <w:r>
        <w:rPr>
          <w:rFonts w:ascii="Calibri" w:cs="Calibri" w:eastAsia="Calibri" w:hAnsi="Calibri"/>
          <w:b/>
          <w:bCs/>
          <w:color w:val="3B1278"/>
          <w:sz w:val="30"/>
          <w:szCs w:val="30"/>
        </w:rPr>
        <w:t xml:space="preserve">5. Feature Engineering</w:t>
      </w:r>
    </w:p>
    <w:p>
      <w:pPr>
        <w:pStyle w:val="Heading2"/>
        <w:spacing w:before="240" w:after="60"/>
      </w:pPr>
      <w:r>
        <w:rPr>
          <w:rFonts w:ascii="Calibri" w:cs="Calibri" w:eastAsia="Calibri" w:hAnsi="Calibri"/>
          <w:b/>
          <w:bCs/>
          <w:color w:val="3B1278"/>
          <w:sz w:val="24"/>
          <w:szCs w:val="24"/>
        </w:rPr>
        <w:t xml:space="preserve">5.1 Windowing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3B1278" w:val="clear"/>
            <w:tcMar>
              <w:top w:type="dxa" w:w="80"/>
              <w:left w:type="dxa" w:w="120"/>
              <w:bottom w:type="dxa" w:w="80"/>
              <w:right w:type="dxa" w:w="120"/>
            </w:tcMar>
          </w:tcPr>
          <w:p>
            <w:r>
              <w:rPr>
                <w:rFonts w:ascii="Calibri" w:cs="Calibri" w:eastAsia="Calibri" w:hAnsi="Calibri"/>
                <w:b/>
                <w:bCs/>
                <w:color w:val="FFFFFF"/>
                <w:sz w:val="21"/>
                <w:szCs w:val="21"/>
              </w:rPr>
              <w:t xml:space="preserve">Parameter</w:t>
            </w:r>
          </w:p>
        </w:tc>
        <w:tc>
          <w:tcPr>
            <w:tcW w:type="dxa" w:w="3120"/>
            <w:tcBorders>
              <w:top w:val="single" w:color="CCCCCC" w:sz="1"/>
              <w:left w:val="single" w:color="CCCCCC" w:sz="1"/>
              <w:bottom w:val="single" w:color="CCCCCC" w:sz="1"/>
              <w:right w:val="single" w:color="CCCCCC" w:sz="1"/>
            </w:tcBorders>
            <w:shd w:fill="3B1278" w:val="clear"/>
            <w:tcMar>
              <w:top w:type="dxa" w:w="80"/>
              <w:left w:type="dxa" w:w="120"/>
              <w:bottom w:type="dxa" w:w="80"/>
              <w:right w:type="dxa" w:w="120"/>
            </w:tcMar>
          </w:tcPr>
          <w:p>
            <w:r>
              <w:rPr>
                <w:rFonts w:ascii="Calibri" w:cs="Calibri" w:eastAsia="Calibri" w:hAnsi="Calibri"/>
                <w:b/>
                <w:bCs/>
                <w:color w:val="FFFFFF"/>
                <w:sz w:val="21"/>
                <w:szCs w:val="21"/>
              </w:rPr>
              <w:t xml:space="preserve">Value</w:t>
            </w:r>
          </w:p>
        </w:tc>
        <w:tc>
          <w:tcPr>
            <w:tcW w:type="dxa" w:w="3120"/>
            <w:tcBorders>
              <w:top w:val="single" w:color="CCCCCC" w:sz="1"/>
              <w:left w:val="single" w:color="CCCCCC" w:sz="1"/>
              <w:bottom w:val="single" w:color="CCCCCC" w:sz="1"/>
              <w:right w:val="single" w:color="CCCCCC" w:sz="1"/>
            </w:tcBorders>
            <w:shd w:fill="3B1278" w:val="clear"/>
            <w:tcMar>
              <w:top w:type="dxa" w:w="80"/>
              <w:left w:type="dxa" w:w="120"/>
              <w:bottom w:type="dxa" w:w="80"/>
              <w:right w:type="dxa" w:w="120"/>
            </w:tcMar>
          </w:tcPr>
          <w:p>
            <w:r>
              <w:rPr>
                <w:rFonts w:ascii="Calibri" w:cs="Calibri" w:eastAsia="Calibri" w:hAnsi="Calibri"/>
                <w:b/>
                <w:bCs/>
                <w:color w:val="FFFFFF"/>
                <w:sz w:val="21"/>
                <w:szCs w:val="21"/>
              </w:rPr>
              <w:t xml:space="preserve">Justification</w:t>
            </w:r>
          </w:p>
        </w:tc>
      </w:tr>
      <w:tr>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bCs/>
                <w:color w:val="1E1E1E"/>
                <w:sz w:val="20"/>
                <w:szCs w:val="20"/>
              </w:rPr>
              <w:t xml:space="preserve">Window size</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200 samples (16 seconds)</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Captures ≥3 reps at typical training cadence</w:t>
            </w:r>
          </w:p>
        </w:tc>
      </w:tr>
      <w:tr>
        <w:tc>
          <w:tcPr>
            <w:tcW w:type="dxa" w:w="312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bCs/>
                <w:color w:val="1E1E1E"/>
                <w:sz w:val="20"/>
                <w:szCs w:val="20"/>
              </w:rPr>
              <w:t xml:space="preserve">Window overlap</w:t>
            </w:r>
          </w:p>
        </w:tc>
        <w:tc>
          <w:tcPr>
            <w:tcW w:type="dxa" w:w="312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50% (stride = 100 samples)</w:t>
            </w:r>
          </w:p>
        </w:tc>
        <w:tc>
          <w:tcPr>
            <w:tcW w:type="dxa" w:w="312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Doubles effective training set; handles offset patterns</w:t>
            </w:r>
          </w:p>
        </w:tc>
      </w:tr>
      <w:tr>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bCs/>
                <w:color w:val="1E1E1E"/>
                <w:sz w:val="20"/>
                <w:szCs w:val="20"/>
              </w:rPr>
              <w:t xml:space="preserve">Split strategy</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GroupKFold by participant-set ID</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Prevents same-set data appearing in train and test</w:t>
            </w:r>
          </w:p>
        </w:tc>
      </w:tr>
      <w:tr>
        <w:tc>
          <w:tcPr>
            <w:tcW w:type="dxa" w:w="312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bCs/>
                <w:color w:val="1E1E1E"/>
                <w:sz w:val="20"/>
                <w:szCs w:val="20"/>
              </w:rPr>
              <w:t xml:space="preserve">Label assignment</w:t>
            </w:r>
          </w:p>
        </w:tc>
        <w:tc>
          <w:tcPr>
            <w:tcW w:type="dxa" w:w="312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Majority class in window</w:t>
            </w:r>
          </w:p>
        </w:tc>
        <w:tc>
          <w:tcPr>
            <w:tcW w:type="dxa" w:w="312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Handles boundary windows cleanly</w:t>
            </w:r>
          </w:p>
        </w:tc>
      </w:tr>
    </w:tbl>
    <w:p>
      <w:pPr>
        <w:pStyle w:val="Heading2"/>
        <w:spacing w:before="240" w:after="60"/>
      </w:pPr>
      <w:r>
        <w:rPr>
          <w:rFonts w:ascii="Calibri" w:cs="Calibri" w:eastAsia="Calibri" w:hAnsi="Calibri"/>
          <w:b/>
          <w:bCs/>
          <w:color w:val="3B1278"/>
          <w:sz w:val="24"/>
          <w:szCs w:val="24"/>
        </w:rPr>
        <w:t xml:space="preserve">5.2 Feature Catalogue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3B1278" w:val="clear"/>
            <w:tcMar>
              <w:top w:type="dxa" w:w="80"/>
              <w:left w:type="dxa" w:w="120"/>
              <w:bottom w:type="dxa" w:w="80"/>
              <w:right w:type="dxa" w:w="120"/>
            </w:tcMar>
          </w:tcPr>
          <w:p>
            <w:r>
              <w:rPr>
                <w:rFonts w:ascii="Calibri" w:cs="Calibri" w:eastAsia="Calibri" w:hAnsi="Calibri"/>
                <w:b/>
                <w:bCs/>
                <w:color w:val="FFFFFF"/>
                <w:sz w:val="21"/>
                <w:szCs w:val="21"/>
              </w:rPr>
              <w:t xml:space="preserve">Feature Category</w:t>
            </w:r>
          </w:p>
        </w:tc>
        <w:tc>
          <w:tcPr>
            <w:tcW w:type="dxa" w:w="3120"/>
            <w:tcBorders>
              <w:top w:val="single" w:color="CCCCCC" w:sz="1"/>
              <w:left w:val="single" w:color="CCCCCC" w:sz="1"/>
              <w:bottom w:val="single" w:color="CCCCCC" w:sz="1"/>
              <w:right w:val="single" w:color="CCCCCC" w:sz="1"/>
            </w:tcBorders>
            <w:shd w:fill="3B1278" w:val="clear"/>
            <w:tcMar>
              <w:top w:type="dxa" w:w="80"/>
              <w:left w:type="dxa" w:w="120"/>
              <w:bottom w:type="dxa" w:w="80"/>
              <w:right w:type="dxa" w:w="120"/>
            </w:tcMar>
          </w:tcPr>
          <w:p>
            <w:r>
              <w:rPr>
                <w:rFonts w:ascii="Calibri" w:cs="Calibri" w:eastAsia="Calibri" w:hAnsi="Calibri"/>
                <w:b/>
                <w:bCs/>
                <w:color w:val="FFFFFF"/>
                <w:sz w:val="21"/>
                <w:szCs w:val="21"/>
              </w:rPr>
              <w:t xml:space="preserve">Features Extracted</w:t>
            </w:r>
          </w:p>
        </w:tc>
        <w:tc>
          <w:tcPr>
            <w:tcW w:type="dxa" w:w="3120"/>
            <w:tcBorders>
              <w:top w:val="single" w:color="CCCCCC" w:sz="1"/>
              <w:left w:val="single" w:color="CCCCCC" w:sz="1"/>
              <w:bottom w:val="single" w:color="CCCCCC" w:sz="1"/>
              <w:right w:val="single" w:color="CCCCCC" w:sz="1"/>
            </w:tcBorders>
            <w:shd w:fill="3B1278" w:val="clear"/>
            <w:tcMar>
              <w:top w:type="dxa" w:w="80"/>
              <w:left w:type="dxa" w:w="120"/>
              <w:bottom w:type="dxa" w:w="80"/>
              <w:right w:type="dxa" w:w="120"/>
            </w:tcMar>
          </w:tcPr>
          <w:p>
            <w:r>
              <w:rPr>
                <w:rFonts w:ascii="Calibri" w:cs="Calibri" w:eastAsia="Calibri" w:hAnsi="Calibri"/>
                <w:b/>
                <w:bCs/>
                <w:color w:val="FFFFFF"/>
                <w:sz w:val="21"/>
                <w:szCs w:val="21"/>
              </w:rPr>
              <w:t xml:space="preserve">Count</w:t>
            </w:r>
          </w:p>
        </w:tc>
      </w:tr>
      <w:tr>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bCs/>
                <w:color w:val="1E1E1E"/>
                <w:sz w:val="20"/>
                <w:szCs w:val="20"/>
              </w:rPr>
              <w:t xml:space="preserve">Time-domain mean</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Per-axis mean (6 axes)</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6</w:t>
            </w:r>
          </w:p>
        </w:tc>
      </w:tr>
      <w:tr>
        <w:tc>
          <w:tcPr>
            <w:tcW w:type="dxa" w:w="312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bCs/>
                <w:color w:val="1E1E1E"/>
                <w:sz w:val="20"/>
                <w:szCs w:val="20"/>
              </w:rPr>
              <w:t xml:space="preserve">Time-domain std</w:t>
            </w:r>
          </w:p>
        </w:tc>
        <w:tc>
          <w:tcPr>
            <w:tcW w:type="dxa" w:w="312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Per-axis standard deviation</w:t>
            </w:r>
          </w:p>
        </w:tc>
        <w:tc>
          <w:tcPr>
            <w:tcW w:type="dxa" w:w="312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6</w:t>
            </w:r>
          </w:p>
        </w:tc>
      </w:tr>
      <w:tr>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bCs/>
                <w:color w:val="1E1E1E"/>
                <w:sz w:val="20"/>
                <w:szCs w:val="20"/>
              </w:rPr>
              <w:t xml:space="preserve">Time-domain range</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Per-axis min, max, range</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18</w:t>
            </w:r>
          </w:p>
        </w:tc>
      </w:tr>
      <w:tr>
        <w:tc>
          <w:tcPr>
            <w:tcW w:type="dxa" w:w="312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bCs/>
                <w:color w:val="1E1E1E"/>
                <w:sz w:val="20"/>
                <w:szCs w:val="20"/>
              </w:rPr>
              <w:t xml:space="preserve">Energy</w:t>
            </w:r>
          </w:p>
        </w:tc>
        <w:tc>
          <w:tcPr>
            <w:tcW w:type="dxa" w:w="312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Per-axis signal energy (Σx²/N)</w:t>
            </w:r>
          </w:p>
        </w:tc>
        <w:tc>
          <w:tcPr>
            <w:tcW w:type="dxa" w:w="312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6</w:t>
            </w:r>
          </w:p>
        </w:tc>
      </w:tr>
      <w:tr>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bCs/>
                <w:color w:val="1E1E1E"/>
                <w:sz w:val="20"/>
                <w:szCs w:val="20"/>
              </w:rPr>
              <w:t xml:space="preserve">Zero-crossing rate</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Per-axis sign change frequency</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6</w:t>
            </w:r>
          </w:p>
        </w:tc>
      </w:tr>
      <w:tr>
        <w:tc>
          <w:tcPr>
            <w:tcW w:type="dxa" w:w="312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bCs/>
                <w:color w:val="1E1E1E"/>
                <w:sz w:val="20"/>
                <w:szCs w:val="20"/>
              </w:rPr>
              <w:t xml:space="preserve">FFT dominant frequency</w:t>
            </w:r>
          </w:p>
        </w:tc>
        <w:tc>
          <w:tcPr>
            <w:tcW w:type="dxa" w:w="312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Peak frequency in power spectrum</w:t>
            </w:r>
          </w:p>
        </w:tc>
        <w:tc>
          <w:tcPr>
            <w:tcW w:type="dxa" w:w="312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6</w:t>
            </w:r>
          </w:p>
        </w:tc>
      </w:tr>
      <w:tr>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bCs/>
                <w:color w:val="1E1E1E"/>
                <w:sz w:val="20"/>
                <w:szCs w:val="20"/>
              </w:rPr>
              <w:t xml:space="preserve">FFT spectral power</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Total energy in frequency domain</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6</w:t>
            </w:r>
          </w:p>
        </w:tc>
      </w:tr>
      <w:tr>
        <w:tc>
          <w:tcPr>
            <w:tcW w:type="dxa" w:w="312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bCs/>
                <w:color w:val="1E1E1E"/>
                <w:sz w:val="20"/>
                <w:szCs w:val="20"/>
              </w:rPr>
              <w:t xml:space="preserve">FFT band power</w:t>
            </w:r>
          </w:p>
        </w:tc>
        <w:tc>
          <w:tcPr>
            <w:tcW w:type="dxa" w:w="312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Low-band (0–1 Hz) and high-band power</w:t>
            </w:r>
          </w:p>
        </w:tc>
        <w:tc>
          <w:tcPr>
            <w:tcW w:type="dxa" w:w="312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12</w:t>
            </w:r>
          </w:p>
        </w:tc>
      </w:tr>
      <w:tr>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bCs/>
                <w:color w:val="1E1E1E"/>
                <w:sz w:val="20"/>
                <w:szCs w:val="20"/>
              </w:rPr>
              <w:t xml:space="preserve">Temporal abstraction</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Rolling stats at 3 window sizes</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36</w:t>
            </w:r>
          </w:p>
        </w:tc>
      </w:tr>
      <w:tr>
        <w:tc>
          <w:tcPr>
            <w:tcW w:type="dxa" w:w="312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bCs/>
                <w:color w:val="1E1E1E"/>
                <w:sz w:val="20"/>
                <w:szCs w:val="20"/>
              </w:rPr>
              <w:t xml:space="preserve">Total Features</w:t>
            </w:r>
          </w:p>
        </w:tc>
        <w:tc>
          <w:tcPr>
            <w:tcW w:type="dxa" w:w="312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w:t>
            </w:r>
          </w:p>
        </w:tc>
        <w:tc>
          <w:tcPr>
            <w:tcW w:type="dxa" w:w="312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102</w:t>
            </w:r>
          </w:p>
        </w:tc>
      </w:tr>
    </w:tbl>
    <w:p>
      <w:pPr>
        <w:spacing w:before="60" w:after="60"/>
      </w:pPr>
      <w:r>
        <w:t xml:space="preserve"/>
      </w:r>
    </w:p>
    <w:p>
      <w:pPr>
        <w:pStyle w:val="Heading1"/>
        <w:pBdr>
          <w:bottom w:val="single" w:color="3B1278" w:sz="8" w:space="3"/>
        </w:pBdr>
        <w:spacing w:before="360" w:after="100"/>
      </w:pPr>
      <w:r>
        <w:rPr>
          <w:rFonts w:ascii="Calibri" w:cs="Calibri" w:eastAsia="Calibri" w:hAnsi="Calibri"/>
          <w:b/>
          <w:bCs/>
          <w:color w:val="3B1278"/>
          <w:sz w:val="30"/>
          <w:szCs w:val="30"/>
        </w:rPr>
        <w:t xml:space="preserve">6. Exercise Classification</w:t>
      </w:r>
    </w:p>
    <w:p>
      <w:pPr>
        <w:pStyle w:val="Heading2"/>
        <w:spacing w:before="240" w:after="60"/>
      </w:pPr>
      <w:r>
        <w:rPr>
          <w:rFonts w:ascii="Calibri" w:cs="Calibri" w:eastAsia="Calibri" w:hAnsi="Calibri"/>
          <w:b/>
          <w:bCs/>
          <w:color w:val="3B1278"/>
          <w:sz w:val="24"/>
          <w:szCs w:val="24"/>
        </w:rPr>
        <w:t xml:space="preserve">6.1 Model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tcBorders>
              <w:top w:val="single" w:color="CCCCCC" w:sz="1"/>
              <w:left w:val="single" w:color="CCCCCC" w:sz="1"/>
              <w:bottom w:val="single" w:color="CCCCCC" w:sz="1"/>
              <w:right w:val="single" w:color="CCCCCC" w:sz="1"/>
            </w:tcBorders>
            <w:shd w:fill="3B1278" w:val="clear"/>
            <w:tcMar>
              <w:top w:type="dxa" w:w="80"/>
              <w:left w:type="dxa" w:w="120"/>
              <w:bottom w:type="dxa" w:w="80"/>
              <w:right w:type="dxa" w:w="120"/>
            </w:tcMar>
          </w:tcPr>
          <w:p>
            <w:r>
              <w:rPr>
                <w:rFonts w:ascii="Calibri" w:cs="Calibri" w:eastAsia="Calibri" w:hAnsi="Calibri"/>
                <w:b/>
                <w:bCs/>
                <w:color w:val="FFFFFF"/>
                <w:sz w:val="21"/>
                <w:szCs w:val="21"/>
              </w:rPr>
              <w:t xml:space="preserve">Model</w:t>
            </w:r>
          </w:p>
        </w:tc>
        <w:tc>
          <w:tcPr>
            <w:tcW w:type="dxa" w:w="1170"/>
            <w:tcBorders>
              <w:top w:val="single" w:color="CCCCCC" w:sz="1"/>
              <w:left w:val="single" w:color="CCCCCC" w:sz="1"/>
              <w:bottom w:val="single" w:color="CCCCCC" w:sz="1"/>
              <w:right w:val="single" w:color="CCCCCC" w:sz="1"/>
            </w:tcBorders>
            <w:shd w:fill="3B1278" w:val="clear"/>
            <w:tcMar>
              <w:top w:type="dxa" w:w="80"/>
              <w:left w:type="dxa" w:w="120"/>
              <w:bottom w:type="dxa" w:w="80"/>
              <w:right w:type="dxa" w:w="120"/>
            </w:tcMar>
          </w:tcPr>
          <w:p>
            <w:r>
              <w:rPr>
                <w:rFonts w:ascii="Calibri" w:cs="Calibri" w:eastAsia="Calibri" w:hAnsi="Calibri"/>
                <w:b/>
                <w:bCs/>
                <w:color w:val="FFFFFF"/>
                <w:sz w:val="21"/>
                <w:szCs w:val="21"/>
              </w:rPr>
              <w:t xml:space="preserve">Accuracy</w:t>
            </w:r>
          </w:p>
        </w:tc>
        <w:tc>
          <w:tcPr>
            <w:tcW w:type="dxa" w:w="1170"/>
            <w:tcBorders>
              <w:top w:val="single" w:color="CCCCCC" w:sz="1"/>
              <w:left w:val="single" w:color="CCCCCC" w:sz="1"/>
              <w:bottom w:val="single" w:color="CCCCCC" w:sz="1"/>
              <w:right w:val="single" w:color="CCCCCC" w:sz="1"/>
            </w:tcBorders>
            <w:shd w:fill="3B1278" w:val="clear"/>
            <w:tcMar>
              <w:top w:type="dxa" w:w="80"/>
              <w:left w:type="dxa" w:w="120"/>
              <w:bottom w:type="dxa" w:w="80"/>
              <w:right w:type="dxa" w:w="120"/>
            </w:tcMar>
          </w:tcPr>
          <w:p>
            <w:r>
              <w:rPr>
                <w:rFonts w:ascii="Calibri" w:cs="Calibri" w:eastAsia="Calibri" w:hAnsi="Calibri"/>
                <w:b/>
                <w:bCs/>
                <w:color w:val="FFFFFF"/>
                <w:sz w:val="21"/>
                <w:szCs w:val="21"/>
              </w:rPr>
              <w:t xml:space="preserve">F1 (macro)</w:t>
            </w:r>
          </w:p>
        </w:tc>
        <w:tc>
          <w:tcPr>
            <w:tcW w:type="dxa" w:w="1170"/>
            <w:tcBorders>
              <w:top w:val="single" w:color="CCCCCC" w:sz="1"/>
              <w:left w:val="single" w:color="CCCCCC" w:sz="1"/>
              <w:bottom w:val="single" w:color="CCCCCC" w:sz="1"/>
              <w:right w:val="single" w:color="CCCCCC" w:sz="1"/>
            </w:tcBorders>
            <w:shd w:fill="3B1278" w:val="clear"/>
            <w:tcMar>
              <w:top w:type="dxa" w:w="80"/>
              <w:left w:type="dxa" w:w="120"/>
              <w:bottom w:type="dxa" w:w="80"/>
              <w:right w:type="dxa" w:w="120"/>
            </w:tcMar>
          </w:tcPr>
          <w:p>
            <w:r>
              <w:rPr>
                <w:rFonts w:ascii="Calibri" w:cs="Calibri" w:eastAsia="Calibri" w:hAnsi="Calibri"/>
                <w:b/>
                <w:bCs/>
                <w:color w:val="FFFFFF"/>
                <w:sz w:val="21"/>
                <w:szCs w:val="21"/>
              </w:rPr>
              <w:t xml:space="preserve">Squat</w:t>
            </w:r>
          </w:p>
        </w:tc>
        <w:tc>
          <w:tcPr>
            <w:tcW w:type="dxa" w:w="1170"/>
            <w:tcBorders>
              <w:top w:val="single" w:color="CCCCCC" w:sz="1"/>
              <w:left w:val="single" w:color="CCCCCC" w:sz="1"/>
              <w:bottom w:val="single" w:color="CCCCCC" w:sz="1"/>
              <w:right w:val="single" w:color="CCCCCC" w:sz="1"/>
            </w:tcBorders>
            <w:shd w:fill="3B1278" w:val="clear"/>
            <w:tcMar>
              <w:top w:type="dxa" w:w="80"/>
              <w:left w:type="dxa" w:w="120"/>
              <w:bottom w:type="dxa" w:w="80"/>
              <w:right w:type="dxa" w:w="120"/>
            </w:tcMar>
          </w:tcPr>
          <w:p>
            <w:r>
              <w:rPr>
                <w:rFonts w:ascii="Calibri" w:cs="Calibri" w:eastAsia="Calibri" w:hAnsi="Calibri"/>
                <w:b/>
                <w:bCs/>
                <w:color w:val="FFFFFF"/>
                <w:sz w:val="21"/>
                <w:szCs w:val="21"/>
              </w:rPr>
              <w:t xml:space="preserve">Bench</w:t>
            </w:r>
          </w:p>
        </w:tc>
        <w:tc>
          <w:tcPr>
            <w:tcW w:type="dxa" w:w="1170"/>
            <w:tcBorders>
              <w:top w:val="single" w:color="CCCCCC" w:sz="1"/>
              <w:left w:val="single" w:color="CCCCCC" w:sz="1"/>
              <w:bottom w:val="single" w:color="CCCCCC" w:sz="1"/>
              <w:right w:val="single" w:color="CCCCCC" w:sz="1"/>
            </w:tcBorders>
            <w:shd w:fill="3B1278" w:val="clear"/>
            <w:tcMar>
              <w:top w:type="dxa" w:w="80"/>
              <w:left w:type="dxa" w:w="120"/>
              <w:bottom w:type="dxa" w:w="80"/>
              <w:right w:type="dxa" w:w="120"/>
            </w:tcMar>
          </w:tcPr>
          <w:p>
            <w:r>
              <w:rPr>
                <w:rFonts w:ascii="Calibri" w:cs="Calibri" w:eastAsia="Calibri" w:hAnsi="Calibri"/>
                <w:b/>
                <w:bCs/>
                <w:color w:val="FFFFFF"/>
                <w:sz w:val="21"/>
                <w:szCs w:val="21"/>
              </w:rPr>
              <w:t xml:space="preserve">Dead</w:t>
            </w:r>
          </w:p>
        </w:tc>
        <w:tc>
          <w:tcPr>
            <w:tcW w:type="dxa" w:w="1170"/>
            <w:tcBorders>
              <w:top w:val="single" w:color="CCCCCC" w:sz="1"/>
              <w:left w:val="single" w:color="CCCCCC" w:sz="1"/>
              <w:bottom w:val="single" w:color="CCCCCC" w:sz="1"/>
              <w:right w:val="single" w:color="CCCCCC" w:sz="1"/>
            </w:tcBorders>
            <w:shd w:fill="3B1278" w:val="clear"/>
            <w:tcMar>
              <w:top w:type="dxa" w:w="80"/>
              <w:left w:type="dxa" w:w="120"/>
              <w:bottom w:type="dxa" w:w="80"/>
              <w:right w:type="dxa" w:w="120"/>
            </w:tcMar>
          </w:tcPr>
          <w:p>
            <w:r>
              <w:rPr>
                <w:rFonts w:ascii="Calibri" w:cs="Calibri" w:eastAsia="Calibri" w:hAnsi="Calibri"/>
                <w:b/>
                <w:bCs/>
                <w:color w:val="FFFFFF"/>
                <w:sz w:val="21"/>
                <w:szCs w:val="21"/>
              </w:rPr>
              <w:t xml:space="preserve">OHP</w:t>
            </w:r>
          </w:p>
        </w:tc>
        <w:tc>
          <w:tcPr>
            <w:tcW w:type="dxa" w:w="1170"/>
            <w:tcBorders>
              <w:top w:val="single" w:color="CCCCCC" w:sz="1"/>
              <w:left w:val="single" w:color="CCCCCC" w:sz="1"/>
              <w:bottom w:val="single" w:color="CCCCCC" w:sz="1"/>
              <w:right w:val="single" w:color="CCCCCC" w:sz="1"/>
            </w:tcBorders>
            <w:shd w:fill="3B1278" w:val="clear"/>
            <w:tcMar>
              <w:top w:type="dxa" w:w="80"/>
              <w:left w:type="dxa" w:w="120"/>
              <w:bottom w:type="dxa" w:w="80"/>
              <w:right w:type="dxa" w:w="120"/>
            </w:tcMar>
          </w:tcPr>
          <w:p>
            <w:r>
              <w:rPr>
                <w:rFonts w:ascii="Calibri" w:cs="Calibri" w:eastAsia="Calibri" w:hAnsi="Calibri"/>
                <w:b/>
                <w:bCs/>
                <w:color w:val="FFFFFF"/>
                <w:sz w:val="21"/>
                <w:szCs w:val="21"/>
              </w:rPr>
              <w:t xml:space="preserve">Row</w:t>
            </w:r>
          </w:p>
        </w:tc>
      </w:tr>
      <w:tr>
        <w:tc>
          <w:tcPr>
            <w:tcW w:type="dxa" w:w="117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bCs/>
                <w:color w:val="1E1E1E"/>
                <w:sz w:val="20"/>
                <w:szCs w:val="20"/>
              </w:rPr>
              <w:t xml:space="preserve">Decision Tree</w:t>
            </w:r>
          </w:p>
        </w:tc>
        <w:tc>
          <w:tcPr>
            <w:tcW w:type="dxa" w:w="117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85.3%</w:t>
            </w:r>
          </w:p>
        </w:tc>
        <w:tc>
          <w:tcPr>
            <w:tcW w:type="dxa" w:w="117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0.82</w:t>
            </w:r>
          </w:p>
        </w:tc>
        <w:tc>
          <w:tcPr>
            <w:tcW w:type="dxa" w:w="117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0.88</w:t>
            </w:r>
          </w:p>
        </w:tc>
        <w:tc>
          <w:tcPr>
            <w:tcW w:type="dxa" w:w="117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0.81</w:t>
            </w:r>
          </w:p>
        </w:tc>
        <w:tc>
          <w:tcPr>
            <w:tcW w:type="dxa" w:w="117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0.89</w:t>
            </w:r>
          </w:p>
        </w:tc>
        <w:tc>
          <w:tcPr>
            <w:tcW w:type="dxa" w:w="117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0.74</w:t>
            </w:r>
          </w:p>
        </w:tc>
        <w:tc>
          <w:tcPr>
            <w:tcW w:type="dxa" w:w="117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0.80</w:t>
            </w:r>
          </w:p>
        </w:tc>
      </w:tr>
      <w:tr>
        <w:tc>
          <w:tcPr>
            <w:tcW w:type="dxa" w:w="117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bCs/>
                <w:color w:val="1E1E1E"/>
                <w:sz w:val="20"/>
                <w:szCs w:val="20"/>
              </w:rPr>
              <w:t xml:space="preserve">Random Forest (n=200)</w:t>
            </w:r>
          </w:p>
        </w:tc>
        <w:tc>
          <w:tcPr>
            <w:tcW w:type="dxa" w:w="117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94.1%</w:t>
            </w:r>
          </w:p>
        </w:tc>
        <w:tc>
          <w:tcPr>
            <w:tcW w:type="dxa" w:w="117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0.93</w:t>
            </w:r>
          </w:p>
        </w:tc>
        <w:tc>
          <w:tcPr>
            <w:tcW w:type="dxa" w:w="117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0.95</w:t>
            </w:r>
          </w:p>
        </w:tc>
        <w:tc>
          <w:tcPr>
            <w:tcW w:type="dxa" w:w="117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0.91</w:t>
            </w:r>
          </w:p>
        </w:tc>
        <w:tc>
          <w:tcPr>
            <w:tcW w:type="dxa" w:w="117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0.97</w:t>
            </w:r>
          </w:p>
        </w:tc>
        <w:tc>
          <w:tcPr>
            <w:tcW w:type="dxa" w:w="117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0.88</w:t>
            </w:r>
          </w:p>
        </w:tc>
        <w:tc>
          <w:tcPr>
            <w:tcW w:type="dxa" w:w="117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0.93</w:t>
            </w:r>
          </w:p>
        </w:tc>
      </w:tr>
      <w:tr>
        <w:tc>
          <w:tcPr>
            <w:tcW w:type="dxa" w:w="117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bCs/>
                <w:color w:val="1E1E1E"/>
                <w:sz w:val="20"/>
                <w:szCs w:val="20"/>
              </w:rPr>
              <w:t xml:space="preserve">SVM (RBF)</w:t>
            </w:r>
          </w:p>
        </w:tc>
        <w:tc>
          <w:tcPr>
            <w:tcW w:type="dxa" w:w="117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91.7%</w:t>
            </w:r>
          </w:p>
        </w:tc>
        <w:tc>
          <w:tcPr>
            <w:tcW w:type="dxa" w:w="117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0.90</w:t>
            </w:r>
          </w:p>
        </w:tc>
        <w:tc>
          <w:tcPr>
            <w:tcW w:type="dxa" w:w="117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0.93</w:t>
            </w:r>
          </w:p>
        </w:tc>
        <w:tc>
          <w:tcPr>
            <w:tcW w:type="dxa" w:w="117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0.88</w:t>
            </w:r>
          </w:p>
        </w:tc>
        <w:tc>
          <w:tcPr>
            <w:tcW w:type="dxa" w:w="117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0.95</w:t>
            </w:r>
          </w:p>
        </w:tc>
        <w:tc>
          <w:tcPr>
            <w:tcW w:type="dxa" w:w="117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0.86</w:t>
            </w:r>
          </w:p>
        </w:tc>
        <w:tc>
          <w:tcPr>
            <w:tcW w:type="dxa" w:w="117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0.91</w:t>
            </w:r>
          </w:p>
        </w:tc>
      </w:tr>
      <w:tr>
        <w:tc>
          <w:tcPr>
            <w:tcW w:type="dxa" w:w="117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bCs/>
                <w:color w:val="1E1E1E"/>
                <w:sz w:val="20"/>
                <w:szCs w:val="20"/>
              </w:rPr>
              <w:t xml:space="preserve">KNN (k=5)</w:t>
            </w:r>
          </w:p>
        </w:tc>
        <w:tc>
          <w:tcPr>
            <w:tcW w:type="dxa" w:w="117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88.2%</w:t>
            </w:r>
          </w:p>
        </w:tc>
        <w:tc>
          <w:tcPr>
            <w:tcW w:type="dxa" w:w="117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0.86</w:t>
            </w:r>
          </w:p>
        </w:tc>
        <w:tc>
          <w:tcPr>
            <w:tcW w:type="dxa" w:w="117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0.91</w:t>
            </w:r>
          </w:p>
        </w:tc>
        <w:tc>
          <w:tcPr>
            <w:tcW w:type="dxa" w:w="117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0.84</w:t>
            </w:r>
          </w:p>
        </w:tc>
        <w:tc>
          <w:tcPr>
            <w:tcW w:type="dxa" w:w="117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0.93</w:t>
            </w:r>
          </w:p>
        </w:tc>
        <w:tc>
          <w:tcPr>
            <w:tcW w:type="dxa" w:w="117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0.79</w:t>
            </w:r>
          </w:p>
        </w:tc>
        <w:tc>
          <w:tcPr>
            <w:tcW w:type="dxa" w:w="117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0.88</w:t>
            </w:r>
          </w:p>
        </w:tc>
      </w:tr>
    </w:tbl>
    <w:p>
      <w:pPr>
        <w:pStyle w:val="Heading2"/>
        <w:spacing w:before="240" w:after="60"/>
      </w:pPr>
      <w:r>
        <w:rPr>
          <w:rFonts w:ascii="Calibri" w:cs="Calibri" w:eastAsia="Calibri" w:hAnsi="Calibri"/>
          <w:b/>
          <w:bCs/>
          <w:color w:val="3B1278"/>
          <w:sz w:val="24"/>
          <w:szCs w:val="24"/>
        </w:rPr>
        <w:t xml:space="preserve">6.2 Confusion Matrix Analysis</w:t>
      </w:r>
    </w:p>
    <w:p>
      <w:pPr>
        <w:spacing w:before="50" w:after="70"/>
      </w:pPr>
      <w:r>
        <w:rPr>
          <w:rFonts w:ascii="Calibri" w:cs="Calibri" w:eastAsia="Calibri" w:hAnsi="Calibri"/>
          <w:color w:val="1E1E1E"/>
          <w:sz w:val="21"/>
          <w:szCs w:val="21"/>
        </w:rPr>
        <w:t xml:space="preserve">Primary confusion occurs between Overhead Press and Bench Press (6.2% of OHP predictions misclassified as Bench, 5.1% of Bench misclassified as OHP). This is expected from a biomechanical standpoint — both exercises involve a pressing motion with similar frequency content. The primary discriminating features for these two classes are gyr_x_std (wrist rotation variance) and acc_z/acc_y ratio (vertical vs horizontal acceleration balance).</w:t>
      </w:r>
    </w:p>
    <w:p>
      <w:pPr>
        <w:pStyle w:val="Heading2"/>
        <w:spacing w:before="240" w:after="60"/>
      </w:pPr>
      <w:r>
        <w:rPr>
          <w:rFonts w:ascii="Calibri" w:cs="Calibri" w:eastAsia="Calibri" w:hAnsi="Calibri"/>
          <w:b/>
          <w:bCs/>
          <w:color w:val="3B1278"/>
          <w:sz w:val="24"/>
          <w:szCs w:val="24"/>
        </w:rPr>
        <w:t xml:space="preserve">6.3 Top 10 Feature Importances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3B1278" w:val="clear"/>
            <w:tcMar>
              <w:top w:type="dxa" w:w="80"/>
              <w:left w:type="dxa" w:w="120"/>
              <w:bottom w:type="dxa" w:w="80"/>
              <w:right w:type="dxa" w:w="120"/>
            </w:tcMar>
          </w:tcPr>
          <w:p>
            <w:r>
              <w:rPr>
                <w:rFonts w:ascii="Calibri" w:cs="Calibri" w:eastAsia="Calibri" w:hAnsi="Calibri"/>
                <w:b/>
                <w:bCs/>
                <w:color w:val="FFFFFF"/>
                <w:sz w:val="21"/>
                <w:szCs w:val="21"/>
              </w:rPr>
              <w:t xml:space="preserve">Rank</w:t>
            </w:r>
          </w:p>
        </w:tc>
        <w:tc>
          <w:tcPr>
            <w:tcW w:type="dxa" w:w="2340"/>
            <w:tcBorders>
              <w:top w:val="single" w:color="CCCCCC" w:sz="1"/>
              <w:left w:val="single" w:color="CCCCCC" w:sz="1"/>
              <w:bottom w:val="single" w:color="CCCCCC" w:sz="1"/>
              <w:right w:val="single" w:color="CCCCCC" w:sz="1"/>
            </w:tcBorders>
            <w:shd w:fill="3B1278" w:val="clear"/>
            <w:tcMar>
              <w:top w:type="dxa" w:w="80"/>
              <w:left w:type="dxa" w:w="120"/>
              <w:bottom w:type="dxa" w:w="80"/>
              <w:right w:type="dxa" w:w="120"/>
            </w:tcMar>
          </w:tcPr>
          <w:p>
            <w:r>
              <w:rPr>
                <w:rFonts w:ascii="Calibri" w:cs="Calibri" w:eastAsia="Calibri" w:hAnsi="Calibri"/>
                <w:b/>
                <w:bCs/>
                <w:color w:val="FFFFFF"/>
                <w:sz w:val="21"/>
                <w:szCs w:val="21"/>
              </w:rPr>
              <w:t xml:space="preserve">Feature</w:t>
            </w:r>
          </w:p>
        </w:tc>
        <w:tc>
          <w:tcPr>
            <w:tcW w:type="dxa" w:w="2340"/>
            <w:tcBorders>
              <w:top w:val="single" w:color="CCCCCC" w:sz="1"/>
              <w:left w:val="single" w:color="CCCCCC" w:sz="1"/>
              <w:bottom w:val="single" w:color="CCCCCC" w:sz="1"/>
              <w:right w:val="single" w:color="CCCCCC" w:sz="1"/>
            </w:tcBorders>
            <w:shd w:fill="3B1278" w:val="clear"/>
            <w:tcMar>
              <w:top w:type="dxa" w:w="80"/>
              <w:left w:type="dxa" w:w="120"/>
              <w:bottom w:type="dxa" w:w="80"/>
              <w:right w:type="dxa" w:w="120"/>
            </w:tcMar>
          </w:tcPr>
          <w:p>
            <w:r>
              <w:rPr>
                <w:rFonts w:ascii="Calibri" w:cs="Calibri" w:eastAsia="Calibri" w:hAnsi="Calibri"/>
                <w:b/>
                <w:bCs/>
                <w:color w:val="FFFFFF"/>
                <w:sz w:val="21"/>
                <w:szCs w:val="21"/>
              </w:rPr>
              <w:t xml:space="preserve">Importance (Gini)</w:t>
            </w:r>
          </w:p>
        </w:tc>
        <w:tc>
          <w:tcPr>
            <w:tcW w:type="dxa" w:w="2340"/>
            <w:tcBorders>
              <w:top w:val="single" w:color="CCCCCC" w:sz="1"/>
              <w:left w:val="single" w:color="CCCCCC" w:sz="1"/>
              <w:bottom w:val="single" w:color="CCCCCC" w:sz="1"/>
              <w:right w:val="single" w:color="CCCCCC" w:sz="1"/>
            </w:tcBorders>
            <w:shd w:fill="3B1278" w:val="clear"/>
            <w:tcMar>
              <w:top w:type="dxa" w:w="80"/>
              <w:left w:type="dxa" w:w="120"/>
              <w:bottom w:type="dxa" w:w="80"/>
              <w:right w:type="dxa" w:w="120"/>
            </w:tcMar>
          </w:tcPr>
          <w:p>
            <w:r>
              <w:rPr>
                <w:rFonts w:ascii="Calibri" w:cs="Calibri" w:eastAsia="Calibri" w:hAnsi="Calibri"/>
                <w:b/>
                <w:bCs/>
                <w:color w:val="FFFFFF"/>
                <w:sz w:val="21"/>
                <w:szCs w:val="21"/>
              </w:rPr>
              <w:t xml:space="preserve">Discriminative Role</w:t>
            </w:r>
          </w:p>
        </w:tc>
      </w:tr>
      <w:tr>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bCs/>
                <w:color w:val="1E1E1E"/>
                <w:sz w:val="20"/>
                <w:szCs w:val="20"/>
              </w:rPr>
              <w:t xml:space="preserve">1</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acc_z_dominant_freq</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0.108</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Exercise fundamental frequency</w:t>
            </w:r>
          </w:p>
        </w:tc>
      </w:tr>
      <w:tr>
        <w:tc>
          <w:tcPr>
            <w:tcW w:type="dxa" w:w="234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bCs/>
                <w:color w:val="1E1E1E"/>
                <w:sz w:val="20"/>
                <w:szCs w:val="20"/>
              </w:rPr>
              <w:t xml:space="preserve">2</w:t>
            </w:r>
          </w:p>
        </w:tc>
        <w:tc>
          <w:tcPr>
            <w:tcW w:type="dxa" w:w="234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gyr_x_std</w:t>
            </w:r>
          </w:p>
        </w:tc>
        <w:tc>
          <w:tcPr>
            <w:tcW w:type="dxa" w:w="234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0.094</w:t>
            </w:r>
          </w:p>
        </w:tc>
        <w:tc>
          <w:tcPr>
            <w:tcW w:type="dxa" w:w="234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Wrist rotation variance (key for OHP/Bench separation)</w:t>
            </w:r>
          </w:p>
        </w:tc>
      </w:tr>
      <w:tr>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bCs/>
                <w:color w:val="1E1E1E"/>
                <w:sz w:val="20"/>
                <w:szCs w:val="20"/>
              </w:rPr>
              <w:t xml:space="preserve">3</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acc_z_energy</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0.087</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Vertical movement intensity</w:t>
            </w:r>
          </w:p>
        </w:tc>
      </w:tr>
      <w:tr>
        <w:tc>
          <w:tcPr>
            <w:tcW w:type="dxa" w:w="234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bCs/>
                <w:color w:val="1E1E1E"/>
                <w:sz w:val="20"/>
                <w:szCs w:val="20"/>
              </w:rPr>
              <w:t xml:space="preserve">4</w:t>
            </w:r>
          </w:p>
        </w:tc>
        <w:tc>
          <w:tcPr>
            <w:tcW w:type="dxa" w:w="234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acc_y_mean</w:t>
            </w:r>
          </w:p>
        </w:tc>
        <w:tc>
          <w:tcPr>
            <w:tcW w:type="dxa" w:w="234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0.071</w:t>
            </w:r>
          </w:p>
        </w:tc>
        <w:tc>
          <w:tcPr>
            <w:tcW w:type="dxa" w:w="234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Horizontal axis bias (row vs bench direction)</w:t>
            </w:r>
          </w:p>
        </w:tc>
      </w:tr>
      <w:tr>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bCs/>
                <w:color w:val="1E1E1E"/>
                <w:sz w:val="20"/>
                <w:szCs w:val="20"/>
              </w:rPr>
              <w:t xml:space="preserve">5</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gyr_z_fft_power</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0.064</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Yaw rotation power (OHP vs squat)</w:t>
            </w:r>
          </w:p>
        </w:tc>
      </w:tr>
      <w:tr>
        <w:tc>
          <w:tcPr>
            <w:tcW w:type="dxa" w:w="234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bCs/>
                <w:color w:val="1E1E1E"/>
                <w:sz w:val="20"/>
                <w:szCs w:val="20"/>
              </w:rPr>
              <w:t xml:space="preserve">6</w:t>
            </w:r>
          </w:p>
        </w:tc>
        <w:tc>
          <w:tcPr>
            <w:tcW w:type="dxa" w:w="234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acc_z_std</w:t>
            </w:r>
          </w:p>
        </w:tc>
        <w:tc>
          <w:tcPr>
            <w:tcW w:type="dxa" w:w="234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0.059</w:t>
            </w:r>
          </w:p>
        </w:tc>
        <w:tc>
          <w:tcPr>
            <w:tcW w:type="dxa" w:w="234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Vertical movement consistency</w:t>
            </w:r>
          </w:p>
        </w:tc>
      </w:tr>
      <w:tr>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bCs/>
                <w:color w:val="1E1E1E"/>
                <w:sz w:val="20"/>
                <w:szCs w:val="20"/>
              </w:rPr>
              <w:t xml:space="preserve">7</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acc_y_energy</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0.053</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Horizontal energy (pull vs push magnitude)</w:t>
            </w:r>
          </w:p>
        </w:tc>
      </w:tr>
      <w:tr>
        <w:tc>
          <w:tcPr>
            <w:tcW w:type="dxa" w:w="234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bCs/>
                <w:color w:val="1E1E1E"/>
                <w:sz w:val="20"/>
                <w:szCs w:val="20"/>
              </w:rPr>
              <w:t xml:space="preserve">8</w:t>
            </w:r>
          </w:p>
        </w:tc>
        <w:tc>
          <w:tcPr>
            <w:tcW w:type="dxa" w:w="234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gyr_y_dominant_freq</w:t>
            </w:r>
          </w:p>
        </w:tc>
        <w:tc>
          <w:tcPr>
            <w:tcW w:type="dxa" w:w="234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0.049</w:t>
            </w:r>
          </w:p>
        </w:tc>
        <w:tc>
          <w:tcPr>
            <w:tcW w:type="dxa" w:w="234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Pitch rotation frequency</w:t>
            </w:r>
          </w:p>
        </w:tc>
      </w:tr>
      <w:tr>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bCs/>
                <w:color w:val="1E1E1E"/>
                <w:sz w:val="20"/>
                <w:szCs w:val="20"/>
              </w:rPr>
              <w:t xml:space="preserve">9</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acc_z_band_power_low</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0.047</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Low-frequency vertical energy</w:t>
            </w:r>
          </w:p>
        </w:tc>
      </w:tr>
      <w:tr>
        <w:tc>
          <w:tcPr>
            <w:tcW w:type="dxa" w:w="234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bCs/>
                <w:color w:val="1E1E1E"/>
                <w:sz w:val="20"/>
                <w:szCs w:val="20"/>
              </w:rPr>
              <w:t xml:space="preserve">10</w:t>
            </w:r>
          </w:p>
        </w:tc>
        <w:tc>
          <w:tcPr>
            <w:tcW w:type="dxa" w:w="234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gyr_x_mean</w:t>
            </w:r>
          </w:p>
        </w:tc>
        <w:tc>
          <w:tcPr>
            <w:tcW w:type="dxa" w:w="234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0.041</w:t>
            </w:r>
          </w:p>
        </w:tc>
        <w:tc>
          <w:tcPr>
            <w:tcW w:type="dxa" w:w="234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Mean wrist rotation direction</w:t>
            </w:r>
          </w:p>
        </w:tc>
      </w:tr>
    </w:tbl>
    <w:p>
      <w:pPr>
        <w:spacing w:before="60" w:after="60"/>
      </w:pPr>
      <w:r>
        <w:t xml:space="preserve"/>
      </w:r>
    </w:p>
    <w:p>
      <w:pPr>
        <w:pStyle w:val="Heading1"/>
        <w:pBdr>
          <w:bottom w:val="single" w:color="3B1278" w:sz="8" w:space="3"/>
        </w:pBdr>
        <w:spacing w:before="360" w:after="100"/>
      </w:pPr>
      <w:r>
        <w:rPr>
          <w:rFonts w:ascii="Calibri" w:cs="Calibri" w:eastAsia="Calibri" w:hAnsi="Calibri"/>
          <w:b/>
          <w:bCs/>
          <w:color w:val="3B1278"/>
          <w:sz w:val="30"/>
          <w:szCs w:val="30"/>
        </w:rPr>
        <w:t xml:space="preserve">7. Repetition Counting</w:t>
      </w:r>
    </w:p>
    <w:p>
      <w:pPr>
        <w:pStyle w:val="Heading2"/>
        <w:spacing w:before="240" w:after="60"/>
      </w:pPr>
      <w:r>
        <w:rPr>
          <w:rFonts w:ascii="Calibri" w:cs="Calibri" w:eastAsia="Calibri" w:hAnsi="Calibri"/>
          <w:b/>
          <w:bCs/>
          <w:color w:val="3B1278"/>
          <w:sz w:val="24"/>
          <w:szCs w:val="24"/>
        </w:rPr>
        <w:t xml:space="preserve">7.1 Algorithm Design</w:t>
      </w:r>
    </w:p>
    <w:p>
      <w:pPr>
        <w:spacing w:before="50" w:after="70"/>
      </w:pPr>
      <w:r>
        <w:rPr>
          <w:rFonts w:ascii="Calibri" w:cs="Calibri" w:eastAsia="Calibri" w:hAnsi="Calibri"/>
          <w:color w:val="1E1E1E"/>
          <w:sz w:val="21"/>
          <w:szCs w:val="21"/>
        </w:rPr>
        <w:t xml:space="preserve">Repetitions are counted by detecting peaks in the low-pass filtered signal of the dominant axis for each exercise. The scipy.signal.find_peaks() function identifies local maxima meeting specified height and minimum-separation constraints.</w:t>
      </w:r>
    </w:p>
    <w:p>
      <w:pPr>
        <w:spacing w:before="50" w:after="70"/>
      </w:pPr>
      <w:r>
        <w:rPr>
          <w:rFonts w:ascii="Calibri" w:cs="Calibri" w:eastAsia="Calibri" w:hAnsi="Calibri"/>
          <w:color w:val="1E1E1E"/>
          <w:sz w:val="21"/>
          <w:szCs w:val="21"/>
        </w:rPr>
        <w:t xml:space="preserve">The minimum separation parameter (distance) encodes the minimum physiologically plausible inter-rep interval — preventing double-counting of single peaks with minor secondary oscillations. This parameter was tuned per exercise type based on observed rep duration distributions.</w:t>
      </w:r>
    </w:p>
    <w:p>
      <w:pPr>
        <w:pStyle w:val="Heading2"/>
        <w:spacing w:before="240" w:after="60"/>
      </w:pPr>
      <w:r>
        <w:rPr>
          <w:rFonts w:ascii="Calibri" w:cs="Calibri" w:eastAsia="Calibri" w:hAnsi="Calibri"/>
          <w:b/>
          <w:bCs/>
          <w:color w:val="3B1278"/>
          <w:sz w:val="24"/>
          <w:szCs w:val="24"/>
        </w:rPr>
        <w:t xml:space="preserve">7.2 Per-Exercise Configuration &amp;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3B1278" w:val="clear"/>
            <w:tcMar>
              <w:top w:type="dxa" w:w="80"/>
              <w:left w:type="dxa" w:w="120"/>
              <w:bottom w:type="dxa" w:w="80"/>
              <w:right w:type="dxa" w:w="120"/>
            </w:tcMar>
          </w:tcPr>
          <w:p>
            <w:r>
              <w:rPr>
                <w:rFonts w:ascii="Calibri" w:cs="Calibri" w:eastAsia="Calibri" w:hAnsi="Calibri"/>
                <w:b/>
                <w:bCs/>
                <w:color w:val="FFFFFF"/>
                <w:sz w:val="21"/>
                <w:szCs w:val="21"/>
              </w:rPr>
              <w:t xml:space="preserve">Exercise</w:t>
            </w:r>
          </w:p>
        </w:tc>
        <w:tc>
          <w:tcPr>
            <w:tcW w:type="dxa" w:w="1560"/>
            <w:tcBorders>
              <w:top w:val="single" w:color="CCCCCC" w:sz="1"/>
              <w:left w:val="single" w:color="CCCCCC" w:sz="1"/>
              <w:bottom w:val="single" w:color="CCCCCC" w:sz="1"/>
              <w:right w:val="single" w:color="CCCCCC" w:sz="1"/>
            </w:tcBorders>
            <w:shd w:fill="3B1278" w:val="clear"/>
            <w:tcMar>
              <w:top w:type="dxa" w:w="80"/>
              <w:left w:type="dxa" w:w="120"/>
              <w:bottom w:type="dxa" w:w="80"/>
              <w:right w:type="dxa" w:w="120"/>
            </w:tcMar>
          </w:tcPr>
          <w:p>
            <w:r>
              <w:rPr>
                <w:rFonts w:ascii="Calibri" w:cs="Calibri" w:eastAsia="Calibri" w:hAnsi="Calibri"/>
                <w:b/>
                <w:bCs/>
                <w:color w:val="FFFFFF"/>
                <w:sz w:val="21"/>
                <w:szCs w:val="21"/>
              </w:rPr>
              <w:t xml:space="preserve">Dominant Axis</w:t>
            </w:r>
          </w:p>
        </w:tc>
        <w:tc>
          <w:tcPr>
            <w:tcW w:type="dxa" w:w="1560"/>
            <w:tcBorders>
              <w:top w:val="single" w:color="CCCCCC" w:sz="1"/>
              <w:left w:val="single" w:color="CCCCCC" w:sz="1"/>
              <w:bottom w:val="single" w:color="CCCCCC" w:sz="1"/>
              <w:right w:val="single" w:color="CCCCCC" w:sz="1"/>
            </w:tcBorders>
            <w:shd w:fill="3B1278" w:val="clear"/>
            <w:tcMar>
              <w:top w:type="dxa" w:w="80"/>
              <w:left w:type="dxa" w:w="120"/>
              <w:bottom w:type="dxa" w:w="80"/>
              <w:right w:type="dxa" w:w="120"/>
            </w:tcMar>
          </w:tcPr>
          <w:p>
            <w:r>
              <w:rPr>
                <w:rFonts w:ascii="Calibri" w:cs="Calibri" w:eastAsia="Calibri" w:hAnsi="Calibri"/>
                <w:b/>
                <w:bCs/>
                <w:color w:val="FFFFFF"/>
                <w:sz w:val="21"/>
                <w:szCs w:val="21"/>
              </w:rPr>
              <w:t xml:space="preserve">Height Threshold</w:t>
            </w:r>
          </w:p>
        </w:tc>
        <w:tc>
          <w:tcPr>
            <w:tcW w:type="dxa" w:w="1560"/>
            <w:tcBorders>
              <w:top w:val="single" w:color="CCCCCC" w:sz="1"/>
              <w:left w:val="single" w:color="CCCCCC" w:sz="1"/>
              <w:bottom w:val="single" w:color="CCCCCC" w:sz="1"/>
              <w:right w:val="single" w:color="CCCCCC" w:sz="1"/>
            </w:tcBorders>
            <w:shd w:fill="3B1278" w:val="clear"/>
            <w:tcMar>
              <w:top w:type="dxa" w:w="80"/>
              <w:left w:type="dxa" w:w="120"/>
              <w:bottom w:type="dxa" w:w="80"/>
              <w:right w:type="dxa" w:w="120"/>
            </w:tcMar>
          </w:tcPr>
          <w:p>
            <w:r>
              <w:rPr>
                <w:rFonts w:ascii="Calibri" w:cs="Calibri" w:eastAsia="Calibri" w:hAnsi="Calibri"/>
                <w:b/>
                <w:bCs/>
                <w:color w:val="FFFFFF"/>
                <w:sz w:val="21"/>
                <w:szCs w:val="21"/>
              </w:rPr>
              <w:t xml:space="preserve">Min Distance (samples)</w:t>
            </w:r>
          </w:p>
        </w:tc>
        <w:tc>
          <w:tcPr>
            <w:tcW w:type="dxa" w:w="1560"/>
            <w:tcBorders>
              <w:top w:val="single" w:color="CCCCCC" w:sz="1"/>
              <w:left w:val="single" w:color="CCCCCC" w:sz="1"/>
              <w:bottom w:val="single" w:color="CCCCCC" w:sz="1"/>
              <w:right w:val="single" w:color="CCCCCC" w:sz="1"/>
            </w:tcBorders>
            <w:shd w:fill="3B1278" w:val="clear"/>
            <w:tcMar>
              <w:top w:type="dxa" w:w="80"/>
              <w:left w:type="dxa" w:w="120"/>
              <w:bottom w:type="dxa" w:w="80"/>
              <w:right w:type="dxa" w:w="120"/>
            </w:tcMar>
          </w:tcPr>
          <w:p>
            <w:r>
              <w:rPr>
                <w:rFonts w:ascii="Calibri" w:cs="Calibri" w:eastAsia="Calibri" w:hAnsi="Calibri"/>
                <w:b/>
                <w:bCs/>
                <w:color w:val="FFFFFF"/>
                <w:sz w:val="21"/>
                <w:szCs w:val="21"/>
              </w:rPr>
              <w:t xml:space="preserve">MAE</w:t>
            </w:r>
          </w:p>
        </w:tc>
        <w:tc>
          <w:tcPr>
            <w:tcW w:type="dxa" w:w="1560"/>
            <w:tcBorders>
              <w:top w:val="single" w:color="CCCCCC" w:sz="1"/>
              <w:left w:val="single" w:color="CCCCCC" w:sz="1"/>
              <w:bottom w:val="single" w:color="CCCCCC" w:sz="1"/>
              <w:right w:val="single" w:color="CCCCCC" w:sz="1"/>
            </w:tcBorders>
            <w:shd w:fill="3B1278" w:val="clear"/>
            <w:tcMar>
              <w:top w:type="dxa" w:w="80"/>
              <w:left w:type="dxa" w:w="120"/>
              <w:bottom w:type="dxa" w:w="80"/>
              <w:right w:type="dxa" w:w="120"/>
            </w:tcMar>
          </w:tcPr>
          <w:p>
            <w:r>
              <w:rPr>
                <w:rFonts w:ascii="Calibri" w:cs="Calibri" w:eastAsia="Calibri" w:hAnsi="Calibri"/>
                <w:b/>
                <w:bCs/>
                <w:color w:val="FFFFFF"/>
                <w:sz w:val="21"/>
                <w:szCs w:val="21"/>
              </w:rPr>
              <w:t xml:space="preserve">±1 Accuracy</w:t>
            </w:r>
          </w:p>
        </w:tc>
      </w:tr>
      <w:tr>
        <w:tc>
          <w:tcPr>
            <w:tcW w:type="dxa" w:w="1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bCs/>
                <w:color w:val="1E1E1E"/>
                <w:sz w:val="20"/>
                <w:szCs w:val="20"/>
              </w:rPr>
              <w:t xml:space="preserve">Squat</w:t>
            </w:r>
          </w:p>
        </w:tc>
        <w:tc>
          <w:tcPr>
            <w:tcW w:type="dxa" w:w="1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acc_z</w:t>
            </w:r>
          </w:p>
        </w:tc>
        <w:tc>
          <w:tcPr>
            <w:tcW w:type="dxa" w:w="1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0.40 g</w:t>
            </w:r>
          </w:p>
        </w:tc>
        <w:tc>
          <w:tcPr>
            <w:tcW w:type="dxa" w:w="1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10 (0.8s)</w:t>
            </w:r>
          </w:p>
        </w:tc>
        <w:tc>
          <w:tcPr>
            <w:tcW w:type="dxa" w:w="1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0.31</w:t>
            </w:r>
          </w:p>
        </w:tc>
        <w:tc>
          <w:tcPr>
            <w:tcW w:type="dxa" w:w="1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94.2%</w:t>
            </w:r>
          </w:p>
        </w:tc>
      </w:tr>
      <w:tr>
        <w:tc>
          <w:tcPr>
            <w:tcW w:type="dxa" w:w="156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bCs/>
                <w:color w:val="1E1E1E"/>
                <w:sz w:val="20"/>
                <w:szCs w:val="20"/>
              </w:rPr>
              <w:t xml:space="preserve">Bench Press</w:t>
            </w:r>
          </w:p>
        </w:tc>
        <w:tc>
          <w:tcPr>
            <w:tcW w:type="dxa" w:w="156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acc_y</w:t>
            </w:r>
          </w:p>
        </w:tc>
        <w:tc>
          <w:tcPr>
            <w:tcW w:type="dxa" w:w="156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0.30 g</w:t>
            </w:r>
          </w:p>
        </w:tc>
        <w:tc>
          <w:tcPr>
            <w:tcW w:type="dxa" w:w="156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9 (0.7s)</w:t>
            </w:r>
          </w:p>
        </w:tc>
        <w:tc>
          <w:tcPr>
            <w:tcW w:type="dxa" w:w="156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0.38</w:t>
            </w:r>
          </w:p>
        </w:tc>
        <w:tc>
          <w:tcPr>
            <w:tcW w:type="dxa" w:w="156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91.3%</w:t>
            </w:r>
          </w:p>
        </w:tc>
      </w:tr>
      <w:tr>
        <w:tc>
          <w:tcPr>
            <w:tcW w:type="dxa" w:w="1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bCs/>
                <w:color w:val="1E1E1E"/>
                <w:sz w:val="20"/>
                <w:szCs w:val="20"/>
              </w:rPr>
              <w:t xml:space="preserve">Deadlift</w:t>
            </w:r>
          </w:p>
        </w:tc>
        <w:tc>
          <w:tcPr>
            <w:tcW w:type="dxa" w:w="1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acc_z</w:t>
            </w:r>
          </w:p>
        </w:tc>
        <w:tc>
          <w:tcPr>
            <w:tcW w:type="dxa" w:w="1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0.50 g</w:t>
            </w:r>
          </w:p>
        </w:tc>
        <w:tc>
          <w:tcPr>
            <w:tcW w:type="dxa" w:w="1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15 (1.2s)</w:t>
            </w:r>
          </w:p>
        </w:tc>
        <w:tc>
          <w:tcPr>
            <w:tcW w:type="dxa" w:w="1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0.25</w:t>
            </w:r>
          </w:p>
        </w:tc>
        <w:tc>
          <w:tcPr>
            <w:tcW w:type="dxa" w:w="1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96.1%</w:t>
            </w:r>
          </w:p>
        </w:tc>
      </w:tr>
      <w:tr>
        <w:tc>
          <w:tcPr>
            <w:tcW w:type="dxa" w:w="156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bCs/>
                <w:color w:val="1E1E1E"/>
                <w:sz w:val="20"/>
                <w:szCs w:val="20"/>
              </w:rPr>
              <w:t xml:space="preserve">OHP</w:t>
            </w:r>
          </w:p>
        </w:tc>
        <w:tc>
          <w:tcPr>
            <w:tcW w:type="dxa" w:w="156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acc_z</w:t>
            </w:r>
          </w:p>
        </w:tc>
        <w:tc>
          <w:tcPr>
            <w:tcW w:type="dxa" w:w="156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0.35 g</w:t>
            </w:r>
          </w:p>
        </w:tc>
        <w:tc>
          <w:tcPr>
            <w:tcW w:type="dxa" w:w="156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10 (0.8s)</w:t>
            </w:r>
          </w:p>
        </w:tc>
        <w:tc>
          <w:tcPr>
            <w:tcW w:type="dxa" w:w="156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0.42</w:t>
            </w:r>
          </w:p>
        </w:tc>
        <w:tc>
          <w:tcPr>
            <w:tcW w:type="dxa" w:w="156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89.4%</w:t>
            </w:r>
          </w:p>
        </w:tc>
      </w:tr>
      <w:tr>
        <w:tc>
          <w:tcPr>
            <w:tcW w:type="dxa" w:w="1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bCs/>
                <w:color w:val="1E1E1E"/>
                <w:sz w:val="20"/>
                <w:szCs w:val="20"/>
              </w:rPr>
              <w:t xml:space="preserve">Barbell Row</w:t>
            </w:r>
          </w:p>
        </w:tc>
        <w:tc>
          <w:tcPr>
            <w:tcW w:type="dxa" w:w="1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acc_y</w:t>
            </w:r>
          </w:p>
        </w:tc>
        <w:tc>
          <w:tcPr>
            <w:tcW w:type="dxa" w:w="1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0.30 g</w:t>
            </w:r>
          </w:p>
        </w:tc>
        <w:tc>
          <w:tcPr>
            <w:tcW w:type="dxa" w:w="1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9 (0.7s)</w:t>
            </w:r>
          </w:p>
        </w:tc>
        <w:tc>
          <w:tcPr>
            <w:tcW w:type="dxa" w:w="1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0.36</w:t>
            </w:r>
          </w:p>
        </w:tc>
        <w:tc>
          <w:tcPr>
            <w:tcW w:type="dxa" w:w="1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91.8%</w:t>
            </w:r>
          </w:p>
        </w:tc>
      </w:tr>
      <w:tr>
        <w:tc>
          <w:tcPr>
            <w:tcW w:type="dxa" w:w="156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bCs/>
                <w:color w:val="1E1E1E"/>
                <w:sz w:val="20"/>
                <w:szCs w:val="20"/>
              </w:rPr>
              <w:t xml:space="preserve">Overall</w:t>
            </w:r>
          </w:p>
        </w:tc>
        <w:tc>
          <w:tcPr>
            <w:tcW w:type="dxa" w:w="156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w:t>
            </w:r>
          </w:p>
        </w:tc>
        <w:tc>
          <w:tcPr>
            <w:tcW w:type="dxa" w:w="156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w:t>
            </w:r>
          </w:p>
        </w:tc>
        <w:tc>
          <w:tcPr>
            <w:tcW w:type="dxa" w:w="156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w:t>
            </w:r>
          </w:p>
        </w:tc>
        <w:tc>
          <w:tcPr>
            <w:tcW w:type="dxa" w:w="156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0.34</w:t>
            </w:r>
          </w:p>
        </w:tc>
        <w:tc>
          <w:tcPr>
            <w:tcW w:type="dxa" w:w="156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tcPr>
          <w:p>
            <w:r>
              <w:rPr>
                <w:rFonts w:ascii="Calibri" w:cs="Calibri" w:eastAsia="Calibri" w:hAnsi="Calibri"/>
                <w:b w:val="false"/>
                <w:bCs w:val="false"/>
                <w:color w:val="1E1E1E"/>
                <w:sz w:val="20"/>
                <w:szCs w:val="20"/>
              </w:rPr>
              <w:t xml:space="preserve">92.6%</w:t>
            </w:r>
          </w:p>
        </w:tc>
      </w:tr>
    </w:tbl>
    <w:p>
      <w:pPr>
        <w:spacing w:before="60" w:after="60"/>
      </w:pPr>
      <w:r>
        <w:t xml:space="preserve"/>
      </w:r>
    </w:p>
    <w:p>
      <w:pPr>
        <w:pStyle w:val="Heading1"/>
        <w:pBdr>
          <w:bottom w:val="single" w:color="3B1278" w:sz="8" w:space="3"/>
        </w:pBdr>
        <w:spacing w:before="360" w:after="100"/>
      </w:pPr>
      <w:r>
        <w:rPr>
          <w:rFonts w:ascii="Calibri" w:cs="Calibri" w:eastAsia="Calibri" w:hAnsi="Calibri"/>
          <w:b/>
          <w:bCs/>
          <w:color w:val="3B1278"/>
          <w:sz w:val="30"/>
          <w:szCs w:val="30"/>
        </w:rPr>
        <w:t xml:space="preserve">8. Software Engineering &amp; Package Structure</w:t>
      </w:r>
    </w:p>
    <w:p>
      <w:pPr>
        <w:pStyle w:val="Heading2"/>
        <w:spacing w:before="240" w:after="60"/>
      </w:pPr>
      <w:r>
        <w:rPr>
          <w:rFonts w:ascii="Calibri" w:cs="Calibri" w:eastAsia="Calibri" w:hAnsi="Calibri"/>
          <w:b/>
          <w:bCs/>
          <w:color w:val="3B1278"/>
          <w:sz w:val="24"/>
          <w:szCs w:val="24"/>
        </w:rPr>
        <w:t xml:space="preserve">8.1 Python Package Architecture</w:t>
      </w:r>
    </w:p>
    <w:p>
      <w:pPr>
        <w:spacing w:before="50" w:after="70"/>
      </w:pPr>
      <w:r>
        <w:rPr>
          <w:rFonts w:ascii="Calibri" w:cs="Calibri" w:eastAsia="Calibri" w:hAnsi="Calibri"/>
          <w:color w:val="1E1E1E"/>
          <w:sz w:val="21"/>
          <w:szCs w:val="21"/>
        </w:rPr>
        <w:t xml:space="preserve">The project is structured as a proper installable Python package using setup.py. Running 'pip install -e .' in the repository root registers the /src directory as an importable module — enabling clean, path-independent imports from any notebook or script.</w:t>
      </w:r>
    </w:p>
    <w:p>
      <w:pPr>
        <w:spacing w:before="50" w:after="70"/>
      </w:pPr>
      <w:r>
        <w:rPr>
          <w:rFonts w:ascii="Calibri" w:cs="Calibri" w:eastAsia="Calibri" w:hAnsi="Calibri"/>
          <w:color w:val="1E1E1E"/>
          <w:sz w:val="21"/>
          <w:szCs w:val="21"/>
        </w:rPr>
        <w:t xml:space="preserve">This architectural decision reflects production ML engineering standards: the same package structure used in professional ML codebases enables unit testing, CI/CD integration, and code reuse across projects — capabilities that notebook-only projects fundamentally lack.</w:t>
      </w:r>
    </w:p>
    <w:p>
      <w:pPr>
        <w:pStyle w:val="Heading2"/>
        <w:spacing w:before="240" w:after="60"/>
      </w:pPr>
      <w:r>
        <w:rPr>
          <w:rFonts w:ascii="Calibri" w:cs="Calibri" w:eastAsia="Calibri" w:hAnsi="Calibri"/>
          <w:b/>
          <w:bCs/>
          <w:color w:val="3B1278"/>
          <w:sz w:val="24"/>
          <w:szCs w:val="24"/>
        </w:rPr>
        <w:t xml:space="preserve">8.2 Reproducibility</w:t>
      </w:r>
    </w:p>
    <w:p>
      <w:pPr>
        <w:pStyle w:val="ListParagraph"/>
        <w:numPr>
          <w:ilvl w:val="0"/>
          <w:numId w:val="2"/>
        </w:numPr>
        <w:spacing w:before="30" w:after="30"/>
      </w:pPr>
      <w:r>
        <w:rPr>
          <w:rFonts w:ascii="Calibri" w:cs="Calibri" w:eastAsia="Calibri" w:hAnsi="Calibri"/>
          <w:color w:val="1E1E1E"/>
          <w:sz w:val="21"/>
          <w:szCs w:val="21"/>
        </w:rPr>
        <w:t xml:space="preserve">environment.yml specifies all Conda dependencies with pinned version numbers — identical environment reproducible on any machine with 'conda env create -f environment.yml'</w:t>
      </w:r>
    </w:p>
    <w:p>
      <w:pPr>
        <w:pStyle w:val="ListParagraph"/>
        <w:numPr>
          <w:ilvl w:val="0"/>
          <w:numId w:val="2"/>
        </w:numPr>
        <w:spacing w:before="30" w:after="30"/>
      </w:pPr>
      <w:r>
        <w:rPr>
          <w:rFonts w:ascii="Calibri" w:cs="Calibri" w:eastAsia="Calibri" w:hAnsi="Calibri"/>
          <w:color w:val="1E1E1E"/>
          <w:sz w:val="21"/>
          <w:szCs w:val="21"/>
        </w:rPr>
        <w:t xml:space="preserve">setup.py enables editable install — source changes immediately reflected without reinstalling</w:t>
      </w:r>
    </w:p>
    <w:p>
      <w:pPr>
        <w:pStyle w:val="ListParagraph"/>
        <w:numPr>
          <w:ilvl w:val="0"/>
          <w:numId w:val="2"/>
        </w:numPr>
        <w:spacing w:before="30" w:after="30"/>
      </w:pPr>
      <w:r>
        <w:rPr>
          <w:rFonts w:ascii="Calibri" w:cs="Calibri" w:eastAsia="Calibri" w:hAnsi="Calibri"/>
          <w:color w:val="1E1E1E"/>
          <w:sz w:val="21"/>
          <w:szCs w:val="21"/>
        </w:rPr>
        <w:t xml:space="preserve">Sequential numbered notebooks (01 through 06) document each pipeline stage in order, enabling complete reproduction of results from raw data</w:t>
      </w:r>
    </w:p>
    <w:p>
      <w:pPr>
        <w:spacing w:before="60" w:after="60"/>
      </w:pPr>
      <w:r>
        <w:t xml:space="preserve"/>
      </w:r>
    </w:p>
    <w:p>
      <w:pPr>
        <w:pStyle w:val="Heading1"/>
        <w:pBdr>
          <w:bottom w:val="single" w:color="3B1278" w:sz="8" w:space="3"/>
        </w:pBdr>
        <w:spacing w:before="360" w:after="100"/>
      </w:pPr>
      <w:r>
        <w:rPr>
          <w:rFonts w:ascii="Calibri" w:cs="Calibri" w:eastAsia="Calibri" w:hAnsi="Calibri"/>
          <w:b/>
          <w:bCs/>
          <w:color w:val="3B1278"/>
          <w:sz w:val="30"/>
          <w:szCs w:val="30"/>
        </w:rPr>
        <w:t xml:space="preserve">9. Conclusion &amp; Future Directions</w:t>
      </w:r>
    </w:p>
    <w:p>
      <w:pPr>
        <w:spacing w:before="50" w:after="70"/>
      </w:pPr>
      <w:r>
        <w:rPr>
          <w:rFonts w:ascii="Calibri" w:cs="Calibri" w:eastAsia="Calibri" w:hAnsi="Calibri"/>
          <w:color w:val="1E1E1E"/>
          <w:sz w:val="21"/>
          <w:szCs w:val="21"/>
        </w:rPr>
        <w:t xml:space="preserve">This project demonstrates that a fully transparent, research-grade fitness tracking system can match commercial tracker accuracy (92.6% rep counting accuracy, 94.1% exercise classification) using only open-source tools and a clear signal processing methodology.</w:t>
      </w:r>
    </w:p>
    <w:p>
      <w:pPr>
        <w:spacing w:before="50" w:after="70"/>
      </w:pPr>
      <w:r>
        <w:rPr>
          <w:rFonts w:ascii="Calibri" w:cs="Calibri" w:eastAsia="Calibri" w:hAnsi="Calibri"/>
          <w:color w:val="1E1E1E"/>
          <w:sz w:val="21"/>
          <w:szCs w:val="21"/>
        </w:rPr>
        <w:t xml:space="preserve">The most significant technical contribution is the integration of frequency-domain features (FFT-derived dominant frequency and band power) with traditional time-domain statistics — this combination is what enables the system to distinguish mechanically similar exercises (OHP vs Bench Press) that time-domain-only approaches frequently confuse.</w:t>
      </w:r>
    </w:p>
    <w:p>
      <w:pPr>
        <w:spacing w:before="50" w:after="70"/>
      </w:pPr>
      <w:r>
        <w:rPr>
          <w:rFonts w:ascii="Calibri" w:cs="Calibri" w:eastAsia="Calibri" w:hAnsi="Calibri"/>
          <w:color w:val="1E1E1E"/>
          <w:sz w:val="21"/>
          <w:szCs w:val="21"/>
        </w:rPr>
        <w:t xml:space="preserve">Future work priorities: (1) Replace hand-engineered features with a 1D-CNN operating directly on filtered signal — expected accuracy improvement to ~97%; (2) Implement LSTM-based rep counter for velocity-adaptive counting; (3) Real-time inference WebSocket endpoint for live workout tracking; (4) Fatigue detection via rep duration trend analysis within sets.</w:t>
      </w:r>
    </w:p>
    <w:p>
      <w:pPr>
        <w:spacing w:before="60" w:after="60"/>
      </w:pPr>
      <w:r>
        <w:t xml:space="preserve"/>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B1278" w:sz="4" w:space="3"/>
      </w:pBdr>
      <w:jc w:val="center"/>
    </w:pPr>
    <w:r>
      <w:rPr>
        <w:rFonts w:ascii="Calibri" w:cs="Calibri" w:eastAsia="Calibri" w:hAnsi="Calibri"/>
        <w:color w:val="4A4A4A"/>
        <w:sz w:val="17"/>
        <w:szCs w:val="17"/>
      </w:rPr>
      <w:t xml:space="preserve">George Dogo — Data Scientist  |  Page </w:t>
    </w:r>
    <w:r>
      <w:rPr>
        <w:rFonts w:ascii="Calibri" w:cs="Calibri" w:eastAsia="Calibri" w:hAnsi="Calibri"/>
        <w:color w:val="4A4A4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B1278" w:sz="6" w:space="3"/>
      </w:pBdr>
    </w:pPr>
    <w:r>
      <w:rPr>
        <w:rFonts w:ascii="Calibri" w:cs="Calibri" w:eastAsia="Calibri" w:hAnsi="Calibri"/>
        <w:color w:val="4A4A4A"/>
        <w:sz w:val="17"/>
        <w:szCs w:val="17"/>
      </w:rPr>
      <w:t xml:space="preserve">Technical Report  ·  Fitness Tracker — Quantified Self  ·  George Dogo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00"/>
      <w:outlineLvl w:val="0"/>
    </w:pPr>
    <w:rPr>
      <w:rFonts w:ascii="Calibri" w:cs="Calibri" w:eastAsia="Calibri" w:hAnsi="Calibri"/>
      <w:b/>
      <w:bCs/>
      <w:color w:val="3B1278"/>
      <w:sz w:val="30"/>
      <w:szCs w:val="30"/>
    </w:rPr>
  </w:style>
  <w:style w:type="paragraph" w:styleId="Heading2">
    <w:name w:val="Heading 2"/>
    <w:basedOn w:val="Normal"/>
    <w:next w:val="Normal"/>
    <w:qFormat/>
    <w:pPr>
      <w:spacing w:before="240" w:after="60"/>
      <w:outlineLvl w:val="1"/>
    </w:pPr>
    <w:rPr>
      <w:rFonts w:ascii="Calibri" w:cs="Calibri" w:eastAsia="Calibri" w:hAnsi="Calibri"/>
      <w:b/>
      <w:bCs/>
      <w:color w:val="3B12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2026-02-28T12:14:03.030Z</dcterms:created>
  <dcterms:modified xsi:type="dcterms:W3CDTF">2026-02-28T12:14:03.030Z</dcterms:modified>
</cp:coreProperties>
</file>

<file path=docProps/custom.xml><?xml version="1.0" encoding="utf-8"?>
<Properties xmlns="http://schemas.openxmlformats.org/officeDocument/2006/custom-properties" xmlns:vt="http://schemas.openxmlformats.org/officeDocument/2006/docPropsVTypes"/>
</file>