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e1a"/>
          <w:sz w:val="56"/>
          <w:szCs w:val="56"/>
        </w:rPr>
        <w:t xml:space="preserve">Medical Cost Prediction</w:t>
      </w:r>
    </w:p>
    <w:p>
      <w:pPr>
        <w:spacing w:before="0" w:after="120"/>
        <w:jc w:val="center"/>
      </w:pPr>
      <w:r>
        <w:rPr>
          <w:rFonts w:ascii="Arial" w:cs="Arial" w:eastAsia="Arial" w:hAnsi="Arial"/>
          <w:color w:val="1a6b4a"/>
          <w:sz w:val="28"/>
          <w:szCs w:val="28"/>
        </w:rPr>
        <w:t xml:space="preserve">End-to-End Machine Learning Project Report</w:t>
      </w:r>
    </w:p>
    <w:p>
      <w:pPr>
        <w:spacing w:before="0" w:after="1440"/>
        <w:jc w:val="center"/>
      </w:pPr>
      <w:r>
        <w:rPr>
          <w:rFonts w:ascii="Arial" w:cs="Arial" w:eastAsia="Arial" w:hAnsi="Arial"/>
          <w:color w:val="888888"/>
          <w:sz w:val="20"/>
          <w:szCs w:val="20"/>
        </w:rPr>
        <w:t xml:space="preserve">Python 3.8  ·  ZenML 0.55.4  ·  MLflow 2.8.1  ·  FastAPI  ·  scikit-learn</w:t>
      </w:r>
    </w:p>
    <w:p>
      <w:r>
        <w:br w:type="page"/>
      </w:r>
    </w:p>
    <w:p>
      <w:pPr>
        <w:pStyle w:val="Heading1"/>
        <w:spacing w:before="360" w:after="180"/>
      </w:pPr>
      <w:r>
        <w:rPr>
          <w:rFonts w:ascii="Arial" w:cs="Arial" w:eastAsia="Arial" w:hAnsi="Arial"/>
          <w:b/>
          <w:bCs/>
          <w:color w:val="0a0e1a"/>
          <w:sz w:val="36"/>
          <w:szCs w:val="36"/>
        </w:rPr>
        <w:t xml:space="preserve">1. Executive Summary</w:t>
      </w:r>
    </w:p>
    <w:p>
      <w:pPr>
        <w:spacing w:before="80" w:after="80"/>
      </w:pPr>
      <w:r>
        <w:rPr>
          <w:rFonts w:ascii="Arial" w:cs="Arial" w:eastAsia="Arial" w:hAnsi="Arial"/>
          <w:sz w:val="22"/>
          <w:szCs w:val="22"/>
        </w:rPr>
        <w:t xml:space="preserve">This report documents an end-to-end machine learning project that predicts annual insurance charges from patient demographic and health profiles. The system is built on a six-step ZenML pipeline with MLflow experiment tracking, deployed as a FastAPI web service with a browser-accessible prediction interface.</w:t>
      </w:r>
    </w:p>
    <w:p>
      <w:pPr>
        <w:spacing w:before="120" w:after="120"/>
      </w:pPr>
      <w:r>
        <w:t xml:space="preserve"/>
      </w:r>
    </w:p>
    <w:p>
      <w:pPr>
        <w:spacing w:before="80" w:after="80"/>
      </w:pPr>
      <w:r>
        <w:rPr>
          <w:rFonts w:ascii="Arial" w:cs="Arial" w:eastAsia="Arial" w:hAnsi="Arial"/>
          <w:sz w:val="22"/>
          <w:szCs w:val="22"/>
        </w:rPr>
        <w:t xml:space="preserve">The final model — a Lasso regressor with α=0.0001 — achieves an R² of 0.8633 and RMSE of $4,440 on the held-out test set, meaning it explains 86% of the variance in insurance charges. The key technical insight is that smoker status drives 79% of the variance in charges, and the engineered interaction feature smoker_bmi (smoker × BMI) is the single most impactful predictor.</w:t>
      </w:r>
    </w:p>
    <w:p>
      <w:pPr>
        <w:spacing w:before="120" w:after="120"/>
      </w:pPr>
      <w:r>
        <w:t xml:space="preserve"/>
      </w:r>
    </w:p>
    <w:p>
      <w:pPr>
        <w:pStyle w:val="Heading3"/>
        <w:spacing w:before="200" w:after="80"/>
      </w:pPr>
      <w:r>
        <w:rPr>
          <w:rFonts w:ascii="Arial" w:cs="Arial" w:eastAsia="Arial" w:hAnsi="Arial"/>
          <w:b/>
          <w:bCs/>
          <w:color w:val="0a0e1a"/>
          <w:sz w:val="24"/>
          <w:szCs w:val="24"/>
        </w:rPr>
        <w:t xml:space="preserve">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Lasso (α=0.0001)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Regularised linear regression</w:t>
            </w:r>
          </w:p>
        </w:tc>
      </w:tr>
      <w:tr>
        <w:tc>
          <w:tcPr>
            <w:tcW w:type="dxa" w:w="28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Test R²</w:t>
            </w:r>
          </w:p>
        </w:tc>
        <w:tc>
          <w:tcPr>
            <w:tcW w:type="dxa" w:w="22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0.8633</w:t>
            </w:r>
          </w:p>
        </w:tc>
        <w:tc>
          <w:tcPr>
            <w:tcW w:type="dxa" w:w="43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86% of charge variance explained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RMSE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$4,440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prediction error in USD</w:t>
            </w:r>
          </w:p>
        </w:tc>
      </w:tr>
      <w:tr>
        <w:tc>
          <w:tcPr>
            <w:tcW w:type="dxa" w:w="28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Test MAE</w:t>
            </w:r>
          </w:p>
        </w:tc>
        <w:tc>
          <w:tcPr>
            <w:tcW w:type="dxa" w:w="22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$2,359</w:t>
            </w:r>
          </w:p>
        </w:tc>
        <w:tc>
          <w:tcPr>
            <w:tcW w:type="dxa" w:w="43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Median absolute error in USD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MAPE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17.61%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 error per prediction</w:t>
            </w:r>
          </w:p>
        </w:tc>
      </w:tr>
      <w:tr>
        <w:tc>
          <w:tcPr>
            <w:tcW w:type="dxa" w:w="28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Pipeline Time</w:t>
            </w:r>
          </w:p>
        </w:tc>
        <w:tc>
          <w:tcPr>
            <w:tcW w:type="dxa" w:w="22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44 seconds</w:t>
            </w:r>
          </w:p>
        </w:tc>
        <w:tc>
          <w:tcPr>
            <w:tcW w:type="dxa" w:w="43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Full training run on laptop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seconds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Re-run with cached steps</w:t>
            </w:r>
          </w:p>
        </w:tc>
      </w:tr>
    </w:tbl>
    <w:p>
      <w:pPr>
        <w:spacing w:before="120" w:after="120"/>
      </w:pPr>
      <w:r>
        <w:t xml:space="preserve"/>
      </w:r>
    </w:p>
    <w:p>
      <w:r>
        <w:br w:type="page"/>
      </w:r>
    </w:p>
    <w:p>
      <w:pPr>
        <w:pStyle w:val="Heading1"/>
        <w:spacing w:before="360" w:after="180"/>
      </w:pPr>
      <w:r>
        <w:rPr>
          <w:rFonts w:ascii="Arial" w:cs="Arial" w:eastAsia="Arial" w:hAnsi="Arial"/>
          <w:b/>
          <w:bCs/>
          <w:color w:val="0a0e1a"/>
          <w:sz w:val="36"/>
          <w:szCs w:val="36"/>
        </w:rPr>
        <w:t xml:space="preserve">2. Dataset</w:t>
      </w:r>
    </w:p>
    <w:p>
      <w:pPr>
        <w:spacing w:before="80" w:after="80"/>
      </w:pPr>
      <w:r>
        <w:rPr>
          <w:rFonts w:ascii="Arial" w:cs="Arial" w:eastAsia="Arial" w:hAnsi="Arial"/>
          <w:sz w:val="22"/>
          <w:szCs w:val="22"/>
        </w:rPr>
        <w:t xml:space="preserve">Source: Medical Cost Personal Dataset (Kaggle). The dataset contains 1,338 rows and 7 columns. One duplicate row was identified in EDA and removed, leaving 1,337 clean records.</w:t>
      </w:r>
    </w:p>
    <w:p>
      <w:pPr>
        <w:spacing w:before="120"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800"/>
        <w:gridCol w:w="2760"/>
      </w:tblGrid>
      <w:tr>
        <w:tc>
          <w:tcPr>
            <w:tcW w:type="dxa" w:w="15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3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Range / Values</w:t>
            </w:r>
          </w:p>
        </w:tc>
        <w:tc>
          <w:tcPr>
            <w:tcW w:type="dxa" w:w="276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Correlation with Charges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18–64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0.30</w:t>
            </w:r>
          </w:p>
        </w:tc>
      </w:tr>
      <w:tr>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sex</w:t>
            </w:r>
          </w:p>
        </w:tc>
        <w:tc>
          <w:tcPr>
            <w:tcW w:type="dxa" w:w="13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28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male, female</w:t>
            </w:r>
          </w:p>
        </w:tc>
        <w:tc>
          <w:tcPr>
            <w:tcW w:type="dxa" w:w="27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r = 0.06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15.96–53.13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0.20</w:t>
            </w:r>
          </w:p>
        </w:tc>
      </w:tr>
      <w:tr>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children</w:t>
            </w:r>
          </w:p>
        </w:tc>
        <w:tc>
          <w:tcPr>
            <w:tcW w:type="dxa" w:w="13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Numeric</w:t>
            </w:r>
          </w:p>
        </w:tc>
        <w:tc>
          <w:tcPr>
            <w:tcW w:type="dxa" w:w="28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0–5</w:t>
            </w:r>
          </w:p>
        </w:tc>
        <w:tc>
          <w:tcPr>
            <w:tcW w:type="dxa" w:w="27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r = 0.07</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smoker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 = 0.79  ★</w:t>
            </w:r>
          </w:p>
        </w:tc>
      </w:tr>
      <w:tr>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region</w:t>
            </w:r>
          </w:p>
        </w:tc>
        <w:tc>
          <w:tcPr>
            <w:tcW w:type="dxa" w:w="13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28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northeast, northwest, southeast, southwest</w:t>
            </w:r>
          </w:p>
        </w:tc>
        <w:tc>
          <w:tcPr>
            <w:tcW w:type="dxa" w:w="27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r = 0.01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charges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$1,122–$63,770 (target)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before="120" w:after="120"/>
      </w:pPr>
      <w:r>
        <w:t xml:space="preserve"/>
      </w:r>
    </w:p>
    <w:p>
      <w:pPr>
        <w:spacing w:before="80" w:after="80"/>
      </w:pPr>
      <w:r>
        <w:rPr>
          <w:rFonts w:ascii="Arial" w:cs="Arial" w:eastAsia="Arial" w:hAnsi="Arial"/>
          <w:sz w:val="22"/>
          <w:szCs w:val="22"/>
        </w:rPr>
        <w:t xml:space="preserve">Target distribution: charges has a skewness of 1.51 and a mean of $13,270. The right tail is driven by the obese-smoker patient cluster. A log1p transform reduces skewness to approximately 0.05 and is applied to the target before training.</w:t>
      </w:r>
    </w:p>
    <w:p>
      <w:r>
        <w:br w:type="page"/>
      </w:r>
    </w:p>
    <w:p>
      <w:pPr>
        <w:pStyle w:val="Heading1"/>
        <w:spacing w:before="360" w:after="180"/>
      </w:pPr>
      <w:r>
        <w:rPr>
          <w:rFonts w:ascii="Arial" w:cs="Arial" w:eastAsia="Arial" w:hAnsi="Arial"/>
          <w:b/>
          <w:bCs/>
          <w:color w:val="0a0e1a"/>
          <w:sz w:val="36"/>
          <w:szCs w:val="36"/>
        </w:rPr>
        <w:t xml:space="preserve">3. Exploratory Data Analysis</w:t>
      </w:r>
    </w:p>
    <w:p>
      <w:pPr>
        <w:pStyle w:val="Heading2"/>
        <w:spacing w:before="280" w:after="120"/>
      </w:pPr>
      <w:r>
        <w:rPr>
          <w:rFonts w:ascii="Arial" w:cs="Arial" w:eastAsia="Arial" w:hAnsi="Arial"/>
          <w:b/>
          <w:bCs/>
          <w:color w:val="1a6b4a"/>
          <w:sz w:val="28"/>
          <w:szCs w:val="28"/>
        </w:rPr>
        <w:t xml:space="preserve">3.1 Key Findings</w:t>
      </w:r>
    </w:p>
    <w:p>
      <w:pPr>
        <w:spacing w:before="80" w:after="80"/>
      </w:pPr>
      <w:r>
        <w:rPr>
          <w:rFonts w:ascii="Arial" w:cs="Arial" w:eastAsia="Arial" w:hAnsi="Arial"/>
          <w:sz w:val="22"/>
          <w:szCs w:val="22"/>
        </w:rPr>
        <w:t xml:space="preserve">EDA revealed one dominant structural pattern: smoker status creates three distinct charge clusters when combined with BMI.</w:t>
      </w:r>
    </w:p>
    <w:p>
      <w:pPr>
        <w:spacing w:before="120" w:after="120"/>
      </w:pPr>
      <w:r>
        <w:t xml:space="preserve"/>
      </w:r>
    </w:p>
    <w:p>
      <w:pPr>
        <w:pStyle w:val="ListParagraph"/>
        <w:numPr>
          <w:ilvl w:val="0"/>
          <w:numId w:val="2"/>
        </w:numPr>
        <w:spacing w:before="60" w:after="60"/>
      </w:pPr>
      <w:r>
        <w:rPr>
          <w:rFonts w:ascii="Arial" w:cs="Arial" w:eastAsia="Arial" w:hAnsi="Arial"/>
          <w:sz w:val="22"/>
          <w:szCs w:val="22"/>
        </w:rPr>
        <w:t xml:space="preserve">Non-smokers: low charges, approximately linear with age (mean $8,400)</w:t>
      </w:r>
    </w:p>
    <w:p>
      <w:pPr>
        <w:pStyle w:val="ListParagraph"/>
        <w:numPr>
          <w:ilvl w:val="0"/>
          <w:numId w:val="2"/>
        </w:numPr>
        <w:spacing w:before="60" w:after="60"/>
      </w:pPr>
      <w:r>
        <w:rPr>
          <w:rFonts w:ascii="Arial" w:cs="Arial" w:eastAsia="Arial" w:hAnsi="Arial"/>
          <w:sz w:val="22"/>
          <w:szCs w:val="22"/>
        </w:rPr>
        <w:t xml:space="preserve">Smokers with BMI &lt; 30: medium-high charges (mean $21,000)</w:t>
      </w:r>
    </w:p>
    <w:p>
      <w:pPr>
        <w:pStyle w:val="ListParagraph"/>
        <w:numPr>
          <w:ilvl w:val="0"/>
          <w:numId w:val="2"/>
        </w:numPr>
        <w:spacing w:before="60" w:after="60"/>
      </w:pPr>
      <w:r>
        <w:rPr>
          <w:rFonts w:ascii="Arial" w:cs="Arial" w:eastAsia="Arial" w:hAnsi="Arial"/>
          <w:sz w:val="22"/>
          <w:szCs w:val="22"/>
        </w:rPr>
        <w:t xml:space="preserve">Smokers with BMI ≥ 30: very high charges (mean $41,500)</w:t>
      </w:r>
    </w:p>
    <w:p>
      <w:pPr>
        <w:spacing w:before="120" w:after="120"/>
      </w:pPr>
      <w:r>
        <w:t xml:space="preserve"/>
      </w:r>
    </w:p>
    <w:p>
      <w:pPr>
        <w:spacing w:before="80" w:after="80"/>
      </w:pPr>
      <w:r>
        <w:rPr>
          <w:rFonts w:ascii="Arial" w:cs="Arial" w:eastAsia="Arial" w:hAnsi="Arial"/>
          <w:sz w:val="22"/>
          <w:szCs w:val="22"/>
        </w:rPr>
        <w:t xml:space="preserve">This pattern is invisible in any single-variable analysis — it only appears in a two-dimensional plot of BMI × charges coloured by smoker status. It directly motivated the smoker_bmi interaction feature and confirmed that stratifying the train/test split on smoker was essential.</w:t>
      </w:r>
    </w:p>
    <w:p>
      <w:pPr>
        <w:spacing w:before="120" w:after="120"/>
      </w:pPr>
      <w:r>
        <w:t xml:space="preserve"/>
      </w:r>
    </w:p>
    <w:p>
      <w:pPr>
        <w:pStyle w:val="Heading2"/>
        <w:spacing w:before="280" w:after="120"/>
      </w:pPr>
      <w:r>
        <w:rPr>
          <w:rFonts w:ascii="Arial" w:cs="Arial" w:eastAsia="Arial" w:hAnsi="Arial"/>
          <w:b/>
          <w:bCs/>
          <w:color w:val="1a6b4a"/>
          <w:sz w:val="28"/>
          <w:szCs w:val="28"/>
        </w:rPr>
        <w:t xml:space="preserve">3.2 Correlation Analysis</w:t>
      </w:r>
    </w:p>
    <w:p>
      <w:pPr>
        <w:spacing w:before="80" w:after="80"/>
      </w:pPr>
      <w:r>
        <w:rPr>
          <w:rFonts w:ascii="Arial" w:cs="Arial" w:eastAsia="Arial" w:hAnsi="Arial"/>
          <w:sz w:val="22"/>
          <w:szCs w:val="22"/>
        </w:rPr>
        <w:t xml:space="preserve">Pearson correlations with charges (numeric encoding of categorical variables):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Pearson r</w:t>
            </w:r>
          </w:p>
        </w:tc>
        <w:tc>
          <w:tcPr>
            <w:tcW w:type="dxa" w:w="536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Strongest predictor by a wide margin</w:t>
            </w:r>
          </w:p>
        </w:tc>
      </w:tr>
      <w:tr>
        <w:tc>
          <w:tcPr>
            <w:tcW w:type="dxa" w:w="22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age</w:t>
            </w:r>
          </w:p>
        </w:tc>
        <w:tc>
          <w:tcPr>
            <w:tcW w:type="dxa" w:w="18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0.30</w:t>
            </w:r>
          </w:p>
        </w:tc>
        <w:tc>
          <w:tcPr>
            <w:tcW w:type="dxa" w:w="53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Linear, consistent across smoker groups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Non-linear — only significant for smokers</w:t>
            </w:r>
          </w:p>
        </w:tc>
      </w:tr>
      <w:tr>
        <w:tc>
          <w:tcPr>
            <w:tcW w:type="dxa" w:w="22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children</w:t>
            </w:r>
          </w:p>
        </w:tc>
        <w:tc>
          <w:tcPr>
            <w:tcW w:type="dxa" w:w="18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0.07</w:t>
            </w:r>
          </w:p>
        </w:tc>
        <w:tc>
          <w:tcPr>
            <w:tcW w:type="dxa" w:w="53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Weak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effect</w:t>
            </w:r>
          </w:p>
        </w:tc>
      </w:tr>
      <w:tr>
        <w:tc>
          <w:tcPr>
            <w:tcW w:type="dxa" w:w="22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region</w:t>
            </w:r>
          </w:p>
        </w:tc>
        <w:tc>
          <w:tcPr>
            <w:tcW w:type="dxa" w:w="18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0.01</w:t>
            </w:r>
          </w:p>
        </w:tc>
        <w:tc>
          <w:tcPr>
            <w:tcW w:type="dxa" w:w="53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No meaningful effect</w:t>
            </w:r>
          </w:p>
        </w:tc>
      </w:tr>
    </w:tbl>
    <w:p>
      <w:pPr>
        <w:spacing w:before="120" w:after="120"/>
      </w:pPr>
      <w:r>
        <w:t xml:space="preserve"/>
      </w:r>
    </w:p>
    <w:p>
      <w:pPr>
        <w:pStyle w:val="Heading2"/>
        <w:spacing w:before="280" w:after="120"/>
      </w:pPr>
      <w:r>
        <w:rPr>
          <w:rFonts w:ascii="Arial" w:cs="Arial" w:eastAsia="Arial" w:hAnsi="Arial"/>
          <w:b/>
          <w:bCs/>
          <w:color w:val="1a6b4a"/>
          <w:sz w:val="28"/>
          <w:szCs w:val="28"/>
        </w:rPr>
        <w:t xml:space="preserve">3.3 Target Distribution</w:t>
      </w:r>
    </w:p>
    <w:p>
      <w:pPr>
        <w:spacing w:before="80" w:after="80"/>
      </w:pPr>
      <w:r>
        <w:rPr>
          <w:rFonts w:ascii="Arial" w:cs="Arial" w:eastAsia="Arial" w:hAnsi="Arial"/>
          <w:sz w:val="22"/>
          <w:szCs w:val="22"/>
        </w:rPr>
        <w:t xml:space="preserve">Raw charges (skew=1.51) violate the approximate normality assumption that benefits linear models. Log1p transform reduces this to ~0.05. The transformation is applied in feature_engineering_step.py and inverted with expm1 at inference.</w:t>
      </w:r>
    </w:p>
    <w:p>
      <w:r>
        <w:br w:type="page"/>
      </w:r>
    </w:p>
    <w:p>
      <w:pPr>
        <w:pStyle w:val="Heading1"/>
        <w:spacing w:before="360" w:after="180"/>
      </w:pPr>
      <w:r>
        <w:rPr>
          <w:rFonts w:ascii="Arial" w:cs="Arial" w:eastAsia="Arial" w:hAnsi="Arial"/>
          <w:b/>
          <w:bCs/>
          <w:color w:val="0a0e1a"/>
          <w:sz w:val="36"/>
          <w:szCs w:val="36"/>
        </w:rPr>
        <w:t xml:space="preserve">4. Feature Engineering</w:t>
      </w:r>
    </w:p>
    <w:p>
      <w:pPr>
        <w:spacing w:before="80" w:after="80"/>
      </w:pPr>
      <w:r>
        <w:rPr>
          <w:rFonts w:ascii="Arial" w:cs="Arial" w:eastAsia="Arial" w:hAnsi="Arial"/>
          <w:sz w:val="22"/>
          <w:szCs w:val="22"/>
        </w:rPr>
        <w:t xml:space="preserve">Seven features were engineered directly from EDA observations. No statistics from the data are used in the engineering function, making it safe to apply identically to both train and test sets without leakage.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536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Motivation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smoker_bmi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smoker × bmi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Obese-smoker high-cost cluster</w:t>
            </w:r>
          </w:p>
        </w:tc>
      </w:tr>
      <w:tr>
        <w:tc>
          <w:tcPr>
            <w:tcW w:type="dxa" w:w="16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smoker_age</w:t>
            </w:r>
          </w:p>
        </w:tc>
        <w:tc>
          <w:tcPr>
            <w:tcW w:type="dxa" w:w="24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smoker × age</w:t>
            </w:r>
          </w:p>
        </w:tc>
        <w:tc>
          <w:tcPr>
            <w:tcW w:type="dxa" w:w="53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Older smokers cost significantly more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bmi_obese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if bmi ≥ 30 else 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 obesity boundary</w:t>
            </w:r>
          </w:p>
        </w:tc>
      </w:tr>
      <w:tr>
        <w:tc>
          <w:tcPr>
            <w:tcW w:type="dxa" w:w="16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high_risk</w:t>
            </w:r>
          </w:p>
        </w:tc>
        <w:tc>
          <w:tcPr>
            <w:tcW w:type="dxa" w:w="24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smoker AND bmi_obese</w:t>
            </w:r>
          </w:p>
        </w:tc>
        <w:tc>
          <w:tcPr>
            <w:tcW w:type="dxa" w:w="53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Combined highest-cost indicator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bmi_age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bmi × age / 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Ageing amplifies BMI effect</w:t>
            </w:r>
          </w:p>
        </w:tc>
      </w:tr>
      <w:tr>
        <w:tc>
          <w:tcPr>
            <w:tcW w:type="dxa" w:w="16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family_size</w:t>
            </w:r>
          </w:p>
        </w:tc>
        <w:tc>
          <w:tcPr>
            <w:tcW w:type="dxa" w:w="24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children + 1</w:t>
            </w:r>
          </w:p>
        </w:tc>
        <w:tc>
          <w:tcPr>
            <w:tcW w:type="dxa" w:w="53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Total dependants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age_group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cut(age, 4 bins)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Life-stage: young/middle/senior/elderly</w:t>
            </w:r>
          </w:p>
        </w:tc>
      </w:tr>
    </w:tbl>
    <w:p>
      <w:pPr>
        <w:spacing w:before="120" w:after="120"/>
      </w:pPr>
      <w:r>
        <w:t xml:space="preserve"/>
      </w:r>
    </w:p>
    <w:p>
      <w:pPr>
        <w:spacing w:before="80" w:after="80"/>
      </w:pPr>
      <w:r>
        <w:rPr>
          <w:rFonts w:ascii="Arial" w:cs="Arial" w:eastAsia="Arial" w:hAnsi="Arial"/>
          <w:sz w:val="22"/>
          <w:szCs w:val="22"/>
        </w:rPr>
        <w:t xml:space="preserve">After engineering, columns sex, smoker, region, and age_group are one-hot encoded with drop_first=True to avoid multicollinearity. The resulting feature matrix has 17 columns.</w:t>
      </w:r>
    </w:p>
    <w:p>
      <w:pPr>
        <w:spacing w:before="120" w:after="120"/>
      </w:pPr>
      <w:r>
        <w:t xml:space="preserve"/>
      </w:r>
    </w:p>
    <w:p>
      <w:pPr>
        <w:pStyle w:val="Heading2"/>
        <w:spacing w:before="280" w:after="120"/>
      </w:pPr>
      <w:r>
        <w:rPr>
          <w:rFonts w:ascii="Arial" w:cs="Arial" w:eastAsia="Arial" w:hAnsi="Arial"/>
          <w:b/>
          <w:bCs/>
          <w:color w:val="1a6b4a"/>
          <w:sz w:val="28"/>
          <w:szCs w:val="28"/>
        </w:rPr>
        <w:t xml:space="preserve">4.1 Scaling</w:t>
      </w:r>
    </w:p>
    <w:p>
      <w:pPr>
        <w:spacing w:before="80" w:after="80"/>
      </w:pPr>
      <w:r>
        <w:rPr>
          <w:rFonts w:ascii="Arial" w:cs="Arial" w:eastAsia="Arial" w:hAnsi="Arial"/>
          <w:sz w:val="22"/>
          <w:szCs w:val="22"/>
        </w:rPr>
        <w:t xml:space="preserve">StandardScaler is fit on X_train only and applied to both splits. Fitting on train-only prevents information from the test set influencing the scaling — a common source of data leakage. The fitted scaler is serialised to models/scaler.pkl for use at inference.</w:t>
      </w:r>
    </w:p>
    <w:p>
      <w:pPr>
        <w:spacing w:before="120" w:after="120"/>
      </w:pPr>
      <w:r>
        <w:t xml:space="preserve"/>
      </w:r>
    </w:p>
    <w:p>
      <w:pPr>
        <w:pStyle w:val="Heading2"/>
        <w:spacing w:before="280" w:after="120"/>
      </w:pPr>
      <w:r>
        <w:rPr>
          <w:rFonts w:ascii="Arial" w:cs="Arial" w:eastAsia="Arial" w:hAnsi="Arial"/>
          <w:b/>
          <w:bCs/>
          <w:color w:val="1a6b4a"/>
          <w:sz w:val="28"/>
          <w:szCs w:val="28"/>
        </w:rPr>
        <w:t xml:space="preserve">4.2 PCA</w:t>
      </w:r>
    </w:p>
    <w:p>
      <w:pPr>
        <w:spacing w:before="80" w:after="80"/>
      </w:pPr>
      <w:r>
        <w:rPr>
          <w:rFonts w:ascii="Arial" w:cs="Arial" w:eastAsia="Arial" w:hAnsi="Arial"/>
          <w:sz w:val="22"/>
          <w:szCs w:val="22"/>
        </w:rPr>
        <w:t xml:space="preserve">PCA retaining 95% of explained variance reduces the 17-column matrix to 10 components. This artefact is saved to models/pca.pkl for reference and potential use with KNN or linear models. The main tree-based and linear models were trained on the pre-PCA scaled features.</w:t>
      </w:r>
    </w:p>
    <w:p>
      <w:r>
        <w:br w:type="page"/>
      </w:r>
    </w:p>
    <w:p>
      <w:pPr>
        <w:pStyle w:val="Heading1"/>
        <w:spacing w:before="360" w:after="180"/>
      </w:pPr>
      <w:r>
        <w:rPr>
          <w:rFonts w:ascii="Arial" w:cs="Arial" w:eastAsia="Arial" w:hAnsi="Arial"/>
          <w:b/>
          <w:bCs/>
          <w:color w:val="0a0e1a"/>
          <w:sz w:val="36"/>
          <w:szCs w:val="36"/>
        </w:rPr>
        <w:t xml:space="preserve">5. Model Selection &amp; Training</w:t>
      </w:r>
    </w:p>
    <w:p>
      <w:pPr>
        <w:pStyle w:val="Heading2"/>
        <w:spacing w:before="280" w:after="120"/>
      </w:pPr>
      <w:r>
        <w:rPr>
          <w:rFonts w:ascii="Arial" w:cs="Arial" w:eastAsia="Arial" w:hAnsi="Arial"/>
          <w:b/>
          <w:bCs/>
          <w:color w:val="1a6b4a"/>
          <w:sz w:val="28"/>
          <w:szCs w:val="28"/>
        </w:rPr>
        <w:t xml:space="preserve">5.1 Candidate Models</w:t>
      </w:r>
    </w:p>
    <w:p>
      <w:pPr>
        <w:spacing w:before="80" w:after="80"/>
      </w:pPr>
      <w:r>
        <w:rPr>
          <w:rFonts w:ascii="Arial" w:cs="Arial" w:eastAsia="Arial" w:hAnsi="Arial"/>
          <w:sz w:val="22"/>
          <w:szCs w:val="22"/>
        </w:rPr>
        <w:t xml:space="preserve">Six regression models were evaluated using 5-Fold Cross-Validation on the log-transformed target. KFold with shuffle=True and random_state=42 ensures reproducibility.</w:t>
      </w:r>
    </w:p>
    <w:p>
      <w:pPr>
        <w:spacing w:before="120"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500"/>
        <w:gridCol w:w="1460"/>
      </w:tblGrid>
      <w:tr>
        <w:tc>
          <w:tcPr>
            <w:tcW w:type="dxa" w:w="22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CV R² (mean)</w:t>
            </w:r>
          </w:p>
        </w:tc>
        <w:tc>
          <w:tcPr>
            <w:tcW w:type="dxa" w:w="16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CV R² (std)</w:t>
            </w:r>
          </w:p>
        </w:tc>
        <w:tc>
          <w:tcPr>
            <w:tcW w:type="dxa" w:w="15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CV RMSE</w:t>
            </w:r>
          </w:p>
        </w:tc>
        <w:tc>
          <w:tcPr>
            <w:tcW w:type="dxa" w:w="146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Rank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Lasso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0.8051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0.0543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0.4009</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t>
            </w:r>
          </w:p>
        </w:tc>
      </w:tr>
      <w:tr>
        <w:tc>
          <w:tcPr>
            <w:tcW w:type="dxa" w:w="22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LinearRegression</w:t>
            </w:r>
          </w:p>
        </w:tc>
        <w:tc>
          <w:tcPr>
            <w:tcW w:type="dxa" w:w="16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0.8048</w:t>
            </w:r>
          </w:p>
        </w:tc>
        <w:tc>
          <w:tcPr>
            <w:tcW w:type="dxa" w:w="16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0.0559</w:t>
            </w:r>
          </w:p>
        </w:tc>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0.4011</w:t>
            </w:r>
          </w:p>
        </w:tc>
        <w:tc>
          <w:tcPr>
            <w:tcW w:type="dxa" w:w="14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0.8048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0.0549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0.4012</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2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GradientBoosting</w:t>
            </w:r>
          </w:p>
        </w:tc>
        <w:tc>
          <w:tcPr>
            <w:tcW w:type="dxa" w:w="16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0.8026</w:t>
            </w:r>
          </w:p>
        </w:tc>
        <w:tc>
          <w:tcPr>
            <w:tcW w:type="dxa" w:w="16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0.0637</w:t>
            </w:r>
          </w:p>
        </w:tc>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0.4024</w:t>
            </w:r>
          </w:p>
        </w:tc>
        <w:tc>
          <w:tcPr>
            <w:tcW w:type="dxa" w:w="14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RandomForest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0.7874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0.0758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0.4161</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2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KNN</w:t>
            </w:r>
          </w:p>
        </w:tc>
        <w:tc>
          <w:tcPr>
            <w:tcW w:type="dxa" w:w="16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0.7652</w:t>
            </w:r>
          </w:p>
        </w:tc>
        <w:tc>
          <w:tcPr>
            <w:tcW w:type="dxa" w:w="16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0.0611</w:t>
            </w:r>
          </w:p>
        </w:tc>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0.4397</w:t>
            </w:r>
          </w:p>
        </w:tc>
        <w:tc>
          <w:tcPr>
            <w:tcW w:type="dxa" w:w="14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6</w:t>
            </w:r>
          </w:p>
        </w:tc>
      </w:tr>
    </w:tbl>
    <w:p>
      <w:pPr>
        <w:spacing w:before="120" w:after="120"/>
      </w:pPr>
      <w:r>
        <w:t xml:space="preserve"/>
      </w:r>
    </w:p>
    <w:p>
      <w:pPr>
        <w:pStyle w:val="Heading2"/>
        <w:spacing w:before="280" w:after="120"/>
      </w:pPr>
      <w:r>
        <w:rPr>
          <w:rFonts w:ascii="Arial" w:cs="Arial" w:eastAsia="Arial" w:hAnsi="Arial"/>
          <w:b/>
          <w:bCs/>
          <w:color w:val="1a6b4a"/>
          <w:sz w:val="28"/>
          <w:szCs w:val="28"/>
        </w:rPr>
        <w:t xml:space="preserve">5.2 Why Lasso Won</w:t>
      </w:r>
    </w:p>
    <w:p>
      <w:pPr>
        <w:spacing w:before="80" w:after="80"/>
      </w:pPr>
      <w:r>
        <w:rPr>
          <w:rFonts w:ascii="Arial" w:cs="Arial" w:eastAsia="Arial" w:hAnsi="Arial"/>
          <w:sz w:val="22"/>
          <w:szCs w:val="22"/>
        </w:rPr>
        <w:t xml:space="preserve">The expected winner was GradientBoosting. The actual winner — Lasso — reveals something important: the feature engineering pre-computed the most significant non-linear interactions (smoker_bmi, smoker_age). With those terms present, the remaining relationship between features and log-charges became approximately linear. Lasso's L1 penalty then found the optimal sparse coefficient set, effectively zeroing out redundant features and generalising cleanly across folds.</w:t>
      </w:r>
    </w:p>
    <w:p>
      <w:pPr>
        <w:spacing w:before="120" w:after="120"/>
      </w:pPr>
      <w:r>
        <w:t xml:space="preserve"/>
      </w:r>
    </w:p>
    <w:p>
      <w:pPr>
        <w:spacing w:before="80" w:after="80"/>
      </w:pPr>
      <w:r>
        <w:rPr>
          <w:rFonts w:ascii="Arial" w:cs="Arial" w:eastAsia="Arial" w:hAnsi="Arial"/>
          <w:sz w:val="22"/>
          <w:szCs w:val="22"/>
        </w:rPr>
        <w:t xml:space="preserve">Note also that RandomForest had higher variance (std=0.0758) than Lasso (std=0.0543), suggesting Lasso is more stable across different data subsets — an important property for production reliability.</w:t>
      </w:r>
    </w:p>
    <w:p>
      <w:pPr>
        <w:spacing w:before="120" w:after="120"/>
      </w:pPr>
      <w:r>
        <w:t xml:space="preserve"/>
      </w:r>
    </w:p>
    <w:p>
      <w:pPr>
        <w:pStyle w:val="Heading2"/>
        <w:spacing w:before="280" w:after="120"/>
      </w:pPr>
      <w:r>
        <w:rPr>
          <w:rFonts w:ascii="Arial" w:cs="Arial" w:eastAsia="Arial" w:hAnsi="Arial"/>
          <w:b/>
          <w:bCs/>
          <w:color w:val="1a6b4a"/>
          <w:sz w:val="28"/>
          <w:szCs w:val="28"/>
        </w:rPr>
        <w:t xml:space="preserve">5.3 Hyperparameter Tuning</w:t>
      </w:r>
    </w:p>
    <w:p>
      <w:pPr>
        <w:spacing w:before="80" w:after="80"/>
      </w:pPr>
      <w:r>
        <w:rPr>
          <w:rFonts w:ascii="Arial" w:cs="Arial" w:eastAsia="Arial" w:hAnsi="Arial"/>
          <w:sz w:val="22"/>
          <w:szCs w:val="22"/>
        </w:rPr>
        <w:t xml:space="preserve">GridSearchCV was run on Lasso with alpha = [0.0001, 0.001, 0.01, 0.1]. The selected value was α=0.0001, the smallest in the grid, suggesting very mild regularisation is optimal. The best CV R² from the grid was 0.8021.</w:t>
      </w:r>
    </w:p>
    <w:p>
      <w:pPr>
        <w:spacing w:before="120" w:after="120"/>
      </w:pPr>
      <w:r>
        <w:t xml:space="preserve"/>
      </w:r>
    </w:p>
    <w:p>
      <w:pPr>
        <w:pStyle w:val="Heading2"/>
        <w:spacing w:before="280" w:after="120"/>
      </w:pPr>
      <w:r>
        <w:rPr>
          <w:rFonts w:ascii="Arial" w:cs="Arial" w:eastAsia="Arial" w:hAnsi="Arial"/>
          <w:b/>
          <w:bCs/>
          <w:color w:val="1a6b4a"/>
          <w:sz w:val="28"/>
          <w:szCs w:val="28"/>
        </w:rPr>
        <w:t xml:space="preserve">5.4 Final Test Results (USD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RMSE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$4,439.62</w:t>
            </w:r>
          </w:p>
        </w:tc>
      </w:tr>
      <w:tr>
        <w:tc>
          <w:tcPr>
            <w:tcW w:type="dxa" w:w="468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MAE</w:t>
            </w:r>
          </w:p>
        </w:tc>
        <w:tc>
          <w:tcPr>
            <w:tcW w:type="dxa" w:w="468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$2,358.91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17.61%</w:t>
            </w:r>
          </w:p>
        </w:tc>
      </w:tr>
      <w:tr>
        <w:tc>
          <w:tcPr>
            <w:tcW w:type="dxa" w:w="468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R²</w:t>
            </w:r>
          </w:p>
        </w:tc>
        <w:tc>
          <w:tcPr>
            <w:tcW w:type="dxa" w:w="468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0.8633</w:t>
            </w:r>
          </w:p>
        </w:tc>
      </w:tr>
    </w:tbl>
    <w:p>
      <w:pPr>
        <w:spacing w:before="120" w:after="120"/>
      </w:pPr>
      <w:r>
        <w:t xml:space="preserve"/>
      </w:r>
    </w:p>
    <w:p>
      <w:pPr>
        <w:spacing w:before="80" w:after="80"/>
      </w:pPr>
      <w:r>
        <w:rPr>
          <w:rFonts w:ascii="Arial" w:cs="Arial" w:eastAsia="Arial" w:hAnsi="Arial"/>
          <w:sz w:val="22"/>
          <w:szCs w:val="22"/>
        </w:rPr>
        <w:t xml:space="preserve">All metrics are computed in the original USD scale by applying expm1 to both predictions and targets before metric calculation.</w:t>
      </w:r>
    </w:p>
    <w:p>
      <w:r>
        <w:br w:type="page"/>
      </w:r>
    </w:p>
    <w:p>
      <w:pPr>
        <w:pStyle w:val="Heading1"/>
        <w:spacing w:before="360" w:after="180"/>
      </w:pPr>
      <w:r>
        <w:rPr>
          <w:rFonts w:ascii="Arial" w:cs="Arial" w:eastAsia="Arial" w:hAnsi="Arial"/>
          <w:b/>
          <w:bCs/>
          <w:color w:val="0a0e1a"/>
          <w:sz w:val="36"/>
          <w:szCs w:val="36"/>
        </w:rPr>
        <w:t xml:space="preserve">6. Pipeline Architecture</w:t>
      </w:r>
    </w:p>
    <w:p>
      <w:pPr>
        <w:pStyle w:val="Heading2"/>
        <w:spacing w:before="280" w:after="120"/>
      </w:pPr>
      <w:r>
        <w:rPr>
          <w:rFonts w:ascii="Arial" w:cs="Arial" w:eastAsia="Arial" w:hAnsi="Arial"/>
          <w:b/>
          <w:bCs/>
          <w:color w:val="1a6b4a"/>
          <w:sz w:val="28"/>
          <w:szCs w:val="28"/>
        </w:rPr>
        <w:t xml:space="preserve">6.1 ZenML Step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400"/>
        <w:gridCol w:w="3260"/>
      </w:tblGrid>
      <w:tr>
        <w:tc>
          <w:tcPr>
            <w:tcW w:type="dxa" w:w="15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6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ingest_data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ingest_data_step.py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validate, deduplicate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raw_df (1337 × 7)</w:t>
            </w:r>
          </w:p>
        </w:tc>
      </w:tr>
      <w:tr>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2 — preprocess</w:t>
            </w:r>
          </w:p>
        </w:tc>
        <w:tc>
          <w:tcPr>
            <w:tcW w:type="dxa" w:w="22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preprocess_step.py</w:t>
            </w:r>
          </w:p>
        </w:tc>
        <w:tc>
          <w:tcPr>
            <w:tcW w:type="dxa" w:w="24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Stratified 80/20 split</w:t>
            </w:r>
          </w:p>
        </w:tc>
        <w:tc>
          <w:tcPr>
            <w:tcW w:type="dxa" w:w="32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X_train, X_test, y_train, y_test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feature_engineering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feature_engineering_step.py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new features + log target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X_eng (17 cols), y_log</w:t>
            </w:r>
          </w:p>
        </w:tc>
      </w:tr>
      <w:tr>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4 — scale_and_reduce</w:t>
            </w:r>
          </w:p>
        </w:tc>
        <w:tc>
          <w:tcPr>
            <w:tcW w:type="dxa" w:w="22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scale_reduce_step.py</w:t>
            </w:r>
          </w:p>
        </w:tc>
        <w:tc>
          <w:tcPr>
            <w:tcW w:type="dxa" w:w="24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StandardScaler + PCA</w:t>
            </w:r>
          </w:p>
        </w:tc>
        <w:tc>
          <w:tcPr>
            <w:tcW w:type="dxa" w:w="32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X_scaled, scaler.pkl, pca.pkl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 model_train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model_train_step.py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6-model CV + GridSearch + MLflow</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best_model.pkl, model_meta.json</w:t>
            </w:r>
          </w:p>
        </w:tc>
      </w:tr>
      <w:tr>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6 — model_evaluate</w:t>
            </w:r>
          </w:p>
        </w:tc>
        <w:tc>
          <w:tcPr>
            <w:tcW w:type="dxa" w:w="22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model_evaluate_step.py</w:t>
            </w:r>
          </w:p>
        </w:tc>
        <w:tc>
          <w:tcPr>
            <w:tcW w:type="dxa" w:w="24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Test metrics + diagnostic plots</w:t>
            </w:r>
          </w:p>
        </w:tc>
        <w:tc>
          <w:tcPr>
            <w:tcW w:type="dxa" w:w="32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Plots, metrics JSON, predictions CSV</w:t>
            </w:r>
          </w:p>
        </w:tc>
      </w:tr>
    </w:tbl>
    <w:p>
      <w:pPr>
        <w:spacing w:before="120" w:after="120"/>
      </w:pPr>
      <w:r>
        <w:t xml:space="preserve"/>
      </w:r>
    </w:p>
    <w:p>
      <w:pPr>
        <w:pStyle w:val="Heading2"/>
        <w:spacing w:before="280" w:after="120"/>
      </w:pPr>
      <w:r>
        <w:rPr>
          <w:rFonts w:ascii="Arial" w:cs="Arial" w:eastAsia="Arial" w:hAnsi="Arial"/>
          <w:b/>
          <w:bCs/>
          <w:color w:val="1a6b4a"/>
          <w:sz w:val="28"/>
          <w:szCs w:val="28"/>
        </w:rPr>
        <w:t xml:space="preserve">6.2 Caching</w:t>
      </w:r>
    </w:p>
    <w:p>
      <w:pPr>
        <w:spacing w:before="80" w:after="80"/>
      </w:pPr>
      <w:r>
        <w:rPr>
          <w:rFonts w:ascii="Arial" w:cs="Arial" w:eastAsia="Arial" w:hAnsi="Arial"/>
          <w:sz w:val="22"/>
          <w:szCs w:val="22"/>
        </w:rPr>
        <w:t xml:space="preserve">ZenML caches each step's output independently. When the deployment pipeline runs after training, all six upstream steps use cached results and complete in under 5 seconds. Only the two deployment-specific steps (deployment_decision, deploy_model) execute fresh.</w:t>
      </w:r>
    </w:p>
    <w:p>
      <w:pPr>
        <w:spacing w:before="120" w:after="120"/>
      </w:pPr>
      <w:r>
        <w:t xml:space="preserve"/>
      </w:r>
    </w:p>
    <w:p>
      <w:pPr>
        <w:pStyle w:val="Heading2"/>
        <w:spacing w:before="280" w:after="120"/>
      </w:pPr>
      <w:r>
        <w:rPr>
          <w:rFonts w:ascii="Arial" w:cs="Arial" w:eastAsia="Arial" w:hAnsi="Arial"/>
          <w:b/>
          <w:bCs/>
          <w:color w:val="1a6b4a"/>
          <w:sz w:val="28"/>
          <w:szCs w:val="28"/>
        </w:rPr>
        <w:t xml:space="preserve">6.3 MLflow Integration</w:t>
      </w:r>
    </w:p>
    <w:p>
      <w:pPr>
        <w:spacing w:before="80" w:after="80"/>
      </w:pPr>
      <w:r>
        <w:rPr>
          <w:rFonts w:ascii="Arial" w:cs="Arial" w:eastAsia="Arial" w:hAnsi="Arial"/>
          <w:sz w:val="22"/>
          <w:szCs w:val="22"/>
        </w:rPr>
        <w:t xml:space="preserve">Each candidate model logs a nested MLflow run with parameters (model name, hyperparameters) and metrics (cv_r2_mean, cv_r2_std, cv_rmse_mean). The final tuned model logs a separate run with test metrics and a serialised model artefact. All runs are grouped under the medical_cost_prediction experiment, visible at http://localhost:5000.</w:t>
      </w:r>
    </w:p>
    <w:p>
      <w:r>
        <w:br w:type="page"/>
      </w:r>
    </w:p>
    <w:p>
      <w:pPr>
        <w:pStyle w:val="Heading1"/>
        <w:spacing w:before="360" w:after="180"/>
      </w:pPr>
      <w:r>
        <w:rPr>
          <w:rFonts w:ascii="Arial" w:cs="Arial" w:eastAsia="Arial" w:hAnsi="Arial"/>
          <w:b/>
          <w:bCs/>
          <w:color w:val="0a0e1a"/>
          <w:sz w:val="36"/>
          <w:szCs w:val="36"/>
        </w:rPr>
        <w:t xml:space="preserve">7. Deployment</w:t>
      </w:r>
    </w:p>
    <w:p>
      <w:pPr>
        <w:pStyle w:val="Heading2"/>
        <w:spacing w:before="280" w:after="120"/>
      </w:pPr>
      <w:r>
        <w:rPr>
          <w:rFonts w:ascii="Arial" w:cs="Arial" w:eastAsia="Arial" w:hAnsi="Arial"/>
          <w:b/>
          <w:bCs/>
          <w:color w:val="1a6b4a"/>
          <w:sz w:val="28"/>
          <w:szCs w:val="28"/>
        </w:rPr>
        <w:t xml:space="preserve">7.1 Deployment Pipeline</w:t>
      </w:r>
    </w:p>
    <w:p>
      <w:pPr>
        <w:spacing w:before="80" w:after="80"/>
      </w:pPr>
      <w:r>
        <w:rPr>
          <w:rFonts w:ascii="Arial" w:cs="Arial" w:eastAsia="Arial" w:hAnsi="Arial"/>
          <w:sz w:val="22"/>
          <w:szCs w:val="22"/>
        </w:rPr>
        <w:t xml:space="preserve">The deployment pipeline runs the full training pipeline, then adds two steps:</w:t>
      </w:r>
    </w:p>
    <w:p>
      <w:pPr>
        <w:spacing w:before="120" w:after="120"/>
      </w:pPr>
      <w:r>
        <w:t xml:space="preserve"/>
      </w:r>
    </w:p>
    <w:p>
      <w:pPr>
        <w:pStyle w:val="ListParagraph"/>
        <w:numPr>
          <w:ilvl w:val="0"/>
          <w:numId w:val="2"/>
        </w:numPr>
        <w:spacing w:before="60" w:after="60"/>
      </w:pPr>
      <w:r>
        <w:rPr>
          <w:rFonts w:ascii="Arial" w:cs="Arial" w:eastAsia="Arial" w:hAnsi="Arial"/>
          <w:sz w:val="22"/>
          <w:szCs w:val="22"/>
        </w:rPr>
        <w:t xml:space="preserve">deployment_decision_step: checks test R² against a configurable minimum threshold (default 0.80). Returns True to proceed or False to skip.</w:t>
      </w:r>
    </w:p>
    <w:p>
      <w:pPr>
        <w:pStyle w:val="ListParagraph"/>
        <w:numPr>
          <w:ilvl w:val="0"/>
          <w:numId w:val="2"/>
        </w:numPr>
        <w:spacing w:before="60" w:after="60"/>
      </w:pPr>
      <w:r>
        <w:rPr>
          <w:rFonts w:ascii="Arial" w:cs="Arial" w:eastAsia="Arial" w:hAnsi="Arial"/>
          <w:sz w:val="22"/>
          <w:szCs w:val="22"/>
        </w:rPr>
        <w:t xml:space="preserve">deploy_model_step: writes a deployment manifest to extracted_data/deployment_manifest.json and logs the serve command.</w:t>
      </w:r>
    </w:p>
    <w:p>
      <w:pPr>
        <w:spacing w:before="120" w:after="120"/>
      </w:pPr>
      <w:r>
        <w:t xml:space="preserve"/>
      </w:r>
    </w:p>
    <w:p>
      <w:pPr>
        <w:spacing w:before="80" w:after="80"/>
      </w:pPr>
      <w:r>
        <w:rPr>
          <w:rFonts w:ascii="Arial" w:cs="Arial" w:eastAsia="Arial" w:hAnsi="Arial"/>
          <w:sz w:val="22"/>
          <w:szCs w:val="22"/>
        </w:rPr>
        <w:t xml:space="preserve">The 0.8633 R² comfortably clears the 0.80 threshold.</w:t>
      </w:r>
    </w:p>
    <w:p>
      <w:pPr>
        <w:spacing w:before="120" w:after="120"/>
      </w:pPr>
      <w:r>
        <w:t xml:space="preserve"/>
      </w:r>
    </w:p>
    <w:p>
      <w:pPr>
        <w:pStyle w:val="Heading2"/>
        <w:spacing w:before="280" w:after="120"/>
      </w:pPr>
      <w:r>
        <w:rPr>
          <w:rFonts w:ascii="Arial" w:cs="Arial" w:eastAsia="Arial" w:hAnsi="Arial"/>
          <w:b/>
          <w:bCs/>
          <w:color w:val="1a6b4a"/>
          <w:sz w:val="28"/>
          <w:szCs w:val="28"/>
        </w:rPr>
        <w:t xml:space="preserve">7.2 FastAPI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6660"/>
      </w:tblGrid>
      <w:tr>
        <w:tc>
          <w:tcPr>
            <w:tcW w:type="dxa" w:w="15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66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prediction UI (index.html)</w:t>
            </w:r>
          </w:p>
        </w:tc>
      </w:tr>
      <w:tr>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/health</w:t>
            </w:r>
          </w:p>
        </w:tc>
        <w:tc>
          <w:tcPr>
            <w:tcW w:type="dxa" w:w="12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GET</w:t>
            </w:r>
          </w:p>
        </w:tc>
        <w:tc>
          <w:tcPr>
            <w:tcW w:type="dxa" w:w="66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Model name + test metrics JSON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 charges from patient profile</w:t>
            </w:r>
          </w:p>
        </w:tc>
      </w:tr>
      <w:tr>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/docs</w:t>
            </w:r>
          </w:p>
        </w:tc>
        <w:tc>
          <w:tcPr>
            <w:tcW w:type="dxa" w:w="12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GET</w:t>
            </w:r>
          </w:p>
        </w:tc>
        <w:tc>
          <w:tcPr>
            <w:tcW w:type="dxa" w:w="66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Swagger UI with schema and test console</w:t>
            </w:r>
          </w:p>
        </w:tc>
      </w:tr>
    </w:tbl>
    <w:p>
      <w:pPr>
        <w:spacing w:before="120" w:after="120"/>
      </w:pPr>
      <w:r>
        <w:t xml:space="preserve"/>
      </w:r>
    </w:p>
    <w:p>
      <w:pPr>
        <w:spacing w:before="80" w:after="80"/>
      </w:pPr>
      <w:r>
        <w:rPr>
          <w:rFonts w:ascii="Arial" w:cs="Arial" w:eastAsia="Arial" w:hAnsi="Arial"/>
          <w:sz w:val="22"/>
          <w:szCs w:val="22"/>
        </w:rPr>
        <w:t xml:space="preserve">The server loads all model artefacts on startup and has a rule-based fallback for development use when trained models are not present. Input validation is enforced via Pydantic: age 18–64, bmi 10–60, children 0–5, sex and smoker are enum-validated.</w:t>
      </w:r>
    </w:p>
    <w:p>
      <w:pPr>
        <w:spacing w:before="120" w:after="120"/>
      </w:pPr>
      <w:r>
        <w:t xml:space="preserve"/>
      </w:r>
    </w:p>
    <w:p>
      <w:pPr>
        <w:pStyle w:val="Heading2"/>
        <w:spacing w:before="280" w:after="120"/>
      </w:pPr>
      <w:r>
        <w:rPr>
          <w:rFonts w:ascii="Arial" w:cs="Arial" w:eastAsia="Arial" w:hAnsi="Arial"/>
          <w:b/>
          <w:bCs/>
          <w:color w:val="1a6b4a"/>
          <w:sz w:val="28"/>
          <w:szCs w:val="28"/>
        </w:rPr>
        <w:t xml:space="preserve">7.3 Serve Command</w:t>
      </w:r>
    </w:p>
    <w:p>
      <w:pPr>
        <w:shd w:fill="F5F5F5" w:val="clear"/>
        <w:spacing w:before="60" w:after="60"/>
        <w:ind w:left="720"/>
      </w:pPr>
      <w:r>
        <w:rPr>
          <w:rFonts w:ascii="Courier New" w:cs="Courier New" w:eastAsia="Courier New" w:hAnsi="Courier New"/>
          <w:color w:val="1a1a1a"/>
          <w:sz w:val="18"/>
          <w:szCs w:val="18"/>
        </w:rPr>
        <w:t xml:space="preserve"># From project root:</w:t>
      </w:r>
    </w:p>
    <w:p>
      <w:pPr>
        <w:shd w:fill="F5F5F5" w:val="clear"/>
        <w:spacing w:before="60" w:after="60"/>
        <w:ind w:left="720"/>
      </w:pPr>
      <w:r>
        <w:rPr>
          <w:rFonts w:ascii="Courier New" w:cs="Courier New" w:eastAsia="Courier New" w:hAnsi="Courier New"/>
          <w:color w:val="1a1a1a"/>
          <w:sz w:val="18"/>
          <w:szCs w:val="18"/>
        </w:rPr>
        <w:t xml:space="preserve">uvicorn app.server:app --port 8000 --no-reload</w:t>
      </w:r>
    </w:p>
    <w:p>
      <w:pPr>
        <w:spacing w:before="120" w:after="120"/>
      </w:pPr>
      <w:r>
        <w:t xml:space="preserve"/>
      </w:r>
    </w:p>
    <w:p>
      <w:pPr>
        <w:spacing w:before="80" w:after="80"/>
      </w:pPr>
      <w:r>
        <w:rPr>
          <w:rFonts w:ascii="Arial" w:cs="Arial" w:eastAsia="Arial" w:hAnsi="Arial"/>
          <w:sz w:val="22"/>
          <w:szCs w:val="22"/>
        </w:rPr>
        <w:t xml:space="preserve">Note: --reload must be avoided because uvicorn's file-watching subprocess spawns workers with a different sys.path, causing ModuleNotFoundError: No module named 'app'. Use --no-reload in all environments.</w:t>
      </w:r>
    </w:p>
    <w:p>
      <w:r>
        <w:br w:type="page"/>
      </w:r>
    </w:p>
    <w:p>
      <w:pPr>
        <w:pStyle w:val="Heading1"/>
        <w:spacing w:before="360" w:after="180"/>
      </w:pPr>
      <w:r>
        <w:rPr>
          <w:rFonts w:ascii="Arial" w:cs="Arial" w:eastAsia="Arial" w:hAnsi="Arial"/>
          <w:b/>
          <w:bCs/>
          <w:color w:val="0a0e1a"/>
          <w:sz w:val="36"/>
          <w:szCs w:val="36"/>
        </w:rPr>
        <w:t xml:space="preserve">8. Results &amp;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516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best_model.pkl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Fitted Lasso(alpha=0.0001)</w:t>
            </w:r>
          </w:p>
        </w:tc>
      </w:tr>
      <w:tr>
        <w:tc>
          <w:tcPr>
            <w:tcW w:type="dxa" w:w="24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scaler.pkl</w:t>
            </w:r>
          </w:p>
        </w:tc>
        <w:tc>
          <w:tcPr>
            <w:tcW w:type="dxa" w:w="18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models/</w:t>
            </w:r>
          </w:p>
        </w:tc>
        <w:tc>
          <w:tcPr>
            <w:tcW w:type="dxa" w:w="51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Fitted StandardScaler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pca.pkl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Fitted PCA (95% variance, 10 components)</w:t>
            </w:r>
          </w:p>
        </w:tc>
      </w:tr>
      <w:tr>
        <w:tc>
          <w:tcPr>
            <w:tcW w:type="dxa" w:w="24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feature_names.pkl</w:t>
            </w:r>
          </w:p>
        </w:tc>
        <w:tc>
          <w:tcPr>
            <w:tcW w:type="dxa" w:w="18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models/</w:t>
            </w:r>
          </w:p>
        </w:tc>
        <w:tc>
          <w:tcPr>
            <w:tcW w:type="dxa" w:w="51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Ordered list of 17 feature names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model_meta.json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name, best params, test metrics</w:t>
            </w:r>
          </w:p>
        </w:tc>
      </w:tr>
      <w:tr>
        <w:tc>
          <w:tcPr>
            <w:tcW w:type="dxa" w:w="24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model_comparison.csv</w:t>
            </w:r>
          </w:p>
        </w:tc>
        <w:tc>
          <w:tcPr>
            <w:tcW w:type="dxa" w:w="18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extracted_data/</w:t>
            </w:r>
          </w:p>
        </w:tc>
        <w:tc>
          <w:tcPr>
            <w:tcW w:type="dxa" w:w="51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CV R², RMSE, MAE for all 6 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test_predictions.csv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extracted_data/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vs predicted for all 268 test rows</w:t>
            </w:r>
          </w:p>
        </w:tc>
      </w:tr>
      <w:tr>
        <w:tc>
          <w:tcPr>
            <w:tcW w:type="dxa" w:w="24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final_metrics.json</w:t>
            </w:r>
          </w:p>
        </w:tc>
        <w:tc>
          <w:tcPr>
            <w:tcW w:type="dxa" w:w="18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extracted_data/</w:t>
            </w:r>
          </w:p>
        </w:tc>
        <w:tc>
          <w:tcPr>
            <w:tcW w:type="dxa" w:w="51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RMSE, MAE, MAPE, R² in USD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deployment_manifest.json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extracted_data/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status, artefact list, serve command</w:t>
            </w:r>
          </w:p>
        </w:tc>
      </w:tr>
      <w:tr>
        <w:tc>
          <w:tcPr>
            <w:tcW w:type="dxa" w:w="24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06_actual_vs_predicted.png</w:t>
            </w:r>
          </w:p>
        </w:tc>
        <w:tc>
          <w:tcPr>
            <w:tcW w:type="dxa" w:w="18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reports/</w:t>
            </w:r>
          </w:p>
        </w:tc>
        <w:tc>
          <w:tcPr>
            <w:tcW w:type="dxa" w:w="51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Scatter + residual plots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07_feature_importance.png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Top-15 feature importances (if tree model)</w:t>
            </w:r>
          </w:p>
        </w:tc>
      </w:tr>
    </w:tbl>
    <w:p>
      <w:pPr>
        <w:spacing w:before="120" w:after="120"/>
      </w:pPr>
      <w:r>
        <w:t xml:space="preserve"/>
      </w:r>
    </w:p>
    <w:p>
      <w:r>
        <w:br w:type="page"/>
      </w:r>
    </w:p>
    <w:p>
      <w:pPr>
        <w:pStyle w:val="Heading1"/>
        <w:spacing w:before="360" w:after="180"/>
      </w:pPr>
      <w:r>
        <w:rPr>
          <w:rFonts w:ascii="Arial" w:cs="Arial" w:eastAsia="Arial" w:hAnsi="Arial"/>
          <w:b/>
          <w:bCs/>
          <w:color w:val="0a0e1a"/>
          <w:sz w:val="36"/>
          <w:szCs w:val="36"/>
        </w:rPr>
        <w:t xml:space="preserve">9. Limitations &amp; Future Work</w:t>
      </w:r>
    </w:p>
    <w:p>
      <w:pPr>
        <w:pStyle w:val="Heading2"/>
        <w:spacing w:before="280" w:after="120"/>
      </w:pPr>
      <w:r>
        <w:rPr>
          <w:rFonts w:ascii="Arial" w:cs="Arial" w:eastAsia="Arial" w:hAnsi="Arial"/>
          <w:b/>
          <w:bCs/>
          <w:color w:val="1a6b4a"/>
          <w:sz w:val="28"/>
          <w:szCs w:val="28"/>
        </w:rPr>
        <w:t xml:space="preserve">9.1 Current Limitations</w:t>
      </w:r>
    </w:p>
    <w:p>
      <w:pPr>
        <w:pStyle w:val="ListParagraph"/>
        <w:numPr>
          <w:ilvl w:val="0"/>
          <w:numId w:val="2"/>
        </w:numPr>
        <w:spacing w:before="60" w:after="60"/>
      </w:pPr>
      <w:r>
        <w:rPr>
          <w:rFonts w:ascii="Arial" w:cs="Arial" w:eastAsia="Arial" w:hAnsi="Arial"/>
          <w:sz w:val="22"/>
          <w:szCs w:val="22"/>
        </w:rPr>
        <w:t xml:space="preserve">Small dataset (1,337 rows) limits generalisation confidence</w:t>
      </w:r>
    </w:p>
    <w:p>
      <w:pPr>
        <w:pStyle w:val="ListParagraph"/>
        <w:numPr>
          <w:ilvl w:val="0"/>
          <w:numId w:val="2"/>
        </w:numPr>
        <w:spacing w:before="60" w:after="60"/>
      </w:pPr>
      <w:r>
        <w:rPr>
          <w:rFonts w:ascii="Arial" w:cs="Arial" w:eastAsia="Arial" w:hAnsi="Arial"/>
          <w:sz w:val="22"/>
          <w:szCs w:val="22"/>
        </w:rPr>
        <w:t xml:space="preserve">Feature set is restricted to demographics — no medical history, claims data, or geographic cost indices</w:t>
      </w:r>
    </w:p>
    <w:p>
      <w:pPr>
        <w:pStyle w:val="ListParagraph"/>
        <w:numPr>
          <w:ilvl w:val="0"/>
          <w:numId w:val="2"/>
        </w:numPr>
        <w:spacing w:before="60" w:after="60"/>
      </w:pPr>
      <w:r>
        <w:rPr>
          <w:rFonts w:ascii="Arial" w:cs="Arial" w:eastAsia="Arial" w:hAnsi="Arial"/>
          <w:sz w:val="22"/>
          <w:szCs w:val="22"/>
        </w:rPr>
        <w:t xml:space="preserve">Confidence interval is a heuristic ±15% band, not statistically grounded</w:t>
      </w:r>
    </w:p>
    <w:p>
      <w:pPr>
        <w:pStyle w:val="ListParagraph"/>
        <w:numPr>
          <w:ilvl w:val="0"/>
          <w:numId w:val="2"/>
        </w:numPr>
        <w:spacing w:before="60" w:after="60"/>
      </w:pPr>
      <w:r>
        <w:rPr>
          <w:rFonts w:ascii="Arial" w:cs="Arial" w:eastAsia="Arial" w:hAnsi="Arial"/>
          <w:sz w:val="22"/>
          <w:szCs w:val="22"/>
        </w:rPr>
        <w:t xml:space="preserve">No data drift monitoring — performance degradation would be silent in production</w:t>
      </w:r>
    </w:p>
    <w:p>
      <w:pPr>
        <w:pStyle w:val="ListParagraph"/>
        <w:numPr>
          <w:ilvl w:val="0"/>
          <w:numId w:val="2"/>
        </w:numPr>
        <w:spacing w:before="60" w:after="60"/>
      </w:pPr>
      <w:r>
        <w:rPr>
          <w:rFonts w:ascii="Arial" w:cs="Arial" w:eastAsia="Arial" w:hAnsi="Arial"/>
          <w:sz w:val="22"/>
          <w:szCs w:val="22"/>
        </w:rPr>
        <w:t xml:space="preserve">Lasso assumes linearity in the engineered feature space; may fail on out-of-distribution patients</w:t>
      </w:r>
    </w:p>
    <w:p>
      <w:pPr>
        <w:spacing w:before="120" w:after="120"/>
      </w:pPr>
      <w:r>
        <w:t xml:space="preserve"/>
      </w:r>
    </w:p>
    <w:p>
      <w:pPr>
        <w:pStyle w:val="Heading2"/>
        <w:spacing w:before="280" w:after="120"/>
      </w:pPr>
      <w:r>
        <w:rPr>
          <w:rFonts w:ascii="Arial" w:cs="Arial" w:eastAsia="Arial" w:hAnsi="Arial"/>
          <w:b/>
          <w:bCs/>
          <w:color w:val="1a6b4a"/>
          <w:sz w:val="28"/>
          <w:szCs w:val="28"/>
        </w:rPr>
        <w:t xml:space="preserve">9.2 Recommended Improvements</w:t>
      </w:r>
    </w:p>
    <w:p>
      <w:pPr>
        <w:pStyle w:val="ListParagraph"/>
        <w:numPr>
          <w:ilvl w:val="0"/>
          <w:numId w:val="2"/>
        </w:numPr>
        <w:spacing w:before="60" w:after="60"/>
      </w:pPr>
      <w:r>
        <w:rPr>
          <w:rFonts w:ascii="Arial" w:cs="Arial" w:eastAsia="Arial" w:hAnsi="Arial"/>
          <w:sz w:val="22"/>
          <w:szCs w:val="22"/>
        </w:rPr>
        <w:t xml:space="preserve">Prediction intervals: conformal prediction gives statistically valid coverage guarantees</w:t>
      </w:r>
    </w:p>
    <w:p>
      <w:pPr>
        <w:pStyle w:val="ListParagraph"/>
        <w:numPr>
          <w:ilvl w:val="0"/>
          <w:numId w:val="2"/>
        </w:numPr>
        <w:spacing w:before="60" w:after="60"/>
      </w:pPr>
      <w:r>
        <w:rPr>
          <w:rFonts w:ascii="Arial" w:cs="Arial" w:eastAsia="Arial" w:hAnsi="Arial"/>
          <w:sz w:val="22"/>
          <w:szCs w:val="22"/>
        </w:rPr>
        <w:t xml:space="preserve">Hyperparameter search: Optuna with 200+ trials on GradientBoosting or XGBoost</w:t>
      </w:r>
    </w:p>
    <w:p>
      <w:pPr>
        <w:pStyle w:val="ListParagraph"/>
        <w:numPr>
          <w:ilvl w:val="0"/>
          <w:numId w:val="2"/>
        </w:numPr>
        <w:spacing w:before="60" w:after="60"/>
      </w:pPr>
      <w:r>
        <w:rPr>
          <w:rFonts w:ascii="Arial" w:cs="Arial" w:eastAsia="Arial" w:hAnsi="Arial"/>
          <w:sz w:val="22"/>
          <w:szCs w:val="22"/>
        </w:rPr>
        <w:t xml:space="preserve">Drift monitoring: Evidently AI reports on weekly incoming prediction distributions</w:t>
      </w:r>
    </w:p>
    <w:p>
      <w:pPr>
        <w:pStyle w:val="ListParagraph"/>
        <w:numPr>
          <w:ilvl w:val="0"/>
          <w:numId w:val="2"/>
        </w:numPr>
        <w:spacing w:before="60" w:after="60"/>
      </w:pPr>
      <w:r>
        <w:rPr>
          <w:rFonts w:ascii="Arial" w:cs="Arial" w:eastAsia="Arial" w:hAnsi="Arial"/>
          <w:sz w:val="22"/>
          <w:szCs w:val="22"/>
        </w:rPr>
        <w:t xml:space="preserve">Retraining pipeline: automated trigger when Population Stability Index exceeds threshold</w:t>
      </w:r>
    </w:p>
    <w:p>
      <w:pPr>
        <w:pStyle w:val="ListParagraph"/>
        <w:numPr>
          <w:ilvl w:val="0"/>
          <w:numId w:val="2"/>
        </w:numPr>
        <w:spacing w:before="60" w:after="60"/>
      </w:pPr>
      <w:r>
        <w:rPr>
          <w:rFonts w:ascii="Arial" w:cs="Arial" w:eastAsia="Arial" w:hAnsi="Arial"/>
          <w:sz w:val="22"/>
          <w:szCs w:val="22"/>
        </w:rPr>
        <w:t xml:space="preserve">Model registry: MLflow Model Registry with staging → production promotion workflow</w:t>
      </w:r>
    </w:p>
    <w:p>
      <w:pPr>
        <w:pStyle w:val="ListParagraph"/>
        <w:numPr>
          <w:ilvl w:val="0"/>
          <w:numId w:val="2"/>
        </w:numPr>
        <w:spacing w:before="60" w:after="60"/>
      </w:pPr>
      <w:r>
        <w:rPr>
          <w:rFonts w:ascii="Arial" w:cs="Arial" w:eastAsia="Arial" w:hAnsi="Arial"/>
          <w:sz w:val="22"/>
          <w:szCs w:val="22"/>
        </w:rPr>
        <w:t xml:space="preserve">Cloud deployment: containerise with Docker, deploy on AWS ECS or GCP Cloud Run</w:t>
      </w:r>
    </w:p>
    <w:p>
      <w:pPr>
        <w:spacing w:before="120" w:after="120"/>
      </w:pPr>
      <w:r>
        <w:t xml:space="preserve"/>
      </w:r>
    </w:p>
    <w:p>
      <w:r>
        <w:br w:type="page"/>
      </w:r>
    </w:p>
    <w:p>
      <w:pPr>
        <w:pStyle w:val="Heading1"/>
        <w:spacing w:before="360" w:after="180"/>
      </w:pPr>
      <w:r>
        <w:rPr>
          <w:rFonts w:ascii="Arial" w:cs="Arial" w:eastAsia="Arial" w:hAnsi="Arial"/>
          <w:b/>
          <w:bCs/>
          <w:color w:val="0a0e1a"/>
          <w:sz w:val="36"/>
          <w:szCs w:val="36"/>
        </w:rPr>
        <w:t xml:space="preserve">10. Appendix —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860"/>
            <w:tcBorders>
              <w:top w:val="single" w:color="CCCCCC" w:sz="1"/>
              <w:left w:val="single" w:color="CCCCCC" w:sz="1"/>
              <w:bottom w:val="single" w:color="CCCCCC" w:sz="1"/>
              <w:right w:val="single" w:color="CCCCCC" w:sz="1"/>
            </w:tcBorders>
            <w:shd w:fill="1a6b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r>
      <w:tr>
        <w:tc>
          <w:tcPr>
            <w:tcW w:type="dxa" w:w="20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pandas</w:t>
            </w:r>
          </w:p>
        </w:tc>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2.0.3</w:t>
            </w:r>
          </w:p>
        </w:tc>
        <w:tc>
          <w:tcPr>
            <w:tcW w:type="dxa" w:w="58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Data manipulation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1.24.4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Numerical operations</w:t>
            </w:r>
          </w:p>
        </w:tc>
      </w:tr>
      <w:tr>
        <w:tc>
          <w:tcPr>
            <w:tcW w:type="dxa" w:w="20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scikit-learn</w:t>
            </w:r>
          </w:p>
        </w:tc>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1.3.2</w:t>
            </w:r>
          </w:p>
        </w:tc>
        <w:tc>
          <w:tcPr>
            <w:tcW w:type="dxa" w:w="58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ML models and preprocessing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zenml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0.55.4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orchestration</w:t>
            </w:r>
          </w:p>
        </w:tc>
      </w:tr>
      <w:tr>
        <w:tc>
          <w:tcPr>
            <w:tcW w:type="dxa" w:w="20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mlflow</w:t>
            </w:r>
          </w:p>
        </w:tc>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2.8.1</w:t>
            </w:r>
          </w:p>
        </w:tc>
        <w:tc>
          <w:tcPr>
            <w:tcW w:type="dxa" w:w="58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Experiment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0.103.2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server</w:t>
            </w:r>
          </w:p>
        </w:tc>
      </w:tr>
      <w:tr>
        <w:tc>
          <w:tcPr>
            <w:tcW w:type="dxa" w:w="20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uvicorn</w:t>
            </w:r>
          </w:p>
        </w:tc>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0.23.2</w:t>
            </w:r>
          </w:p>
        </w:tc>
        <w:tc>
          <w:tcPr>
            <w:tcW w:type="dxa" w:w="58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ASGI server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pydantic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1.10.13</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validation</w:t>
            </w:r>
          </w:p>
        </w:tc>
      </w:tr>
      <w:tr>
        <w:tc>
          <w:tcPr>
            <w:tcW w:type="dxa" w:w="20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matplotlib</w:t>
            </w:r>
          </w:p>
        </w:tc>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3.7.5</w:t>
            </w:r>
          </w:p>
        </w:tc>
        <w:tc>
          <w:tcPr>
            <w:tcW w:type="dxa" w:w="58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Plotting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seaborn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0.12.2</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Statistical visualisation</w:t>
            </w:r>
          </w:p>
        </w:tc>
      </w:tr>
      <w:tr>
        <w:tc>
          <w:tcPr>
            <w:tcW w:type="dxa" w:w="20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joblib</w:t>
            </w:r>
          </w:p>
        </w:tc>
        <w:tc>
          <w:tcPr>
            <w:tcW w:type="dxa" w:w="150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1.3.2</w:t>
            </w:r>
          </w:p>
        </w:tc>
        <w:tc>
          <w:tcPr>
            <w:tcW w:type="dxa" w:w="5860"/>
            <w:tcBorders>
              <w:top w:val="single" w:color="CCCCCC" w:sz="1"/>
              <w:left w:val="single" w:color="CCCCCC" w:sz="1"/>
              <w:bottom w:val="single" w:color="CCCCCC" w:sz="1"/>
              <w:right w:val="single" w:color="CCCCCC" w:sz="1"/>
            </w:tcBorders>
            <w:shd w:fill="F7FAF8" w:val="clear"/>
            <w:tcMar>
              <w:top w:type="dxa" w:w="80"/>
              <w:left w:type="dxa" w:w="120"/>
              <w:bottom w:type="dxa" w:w="80"/>
              <w:right w:type="dxa" w:w="120"/>
            </w:tcMar>
          </w:tcPr>
          <w:p>
            <w:r>
              <w:rPr>
                <w:rFonts w:ascii="Arial" w:cs="Arial" w:eastAsia="Arial" w:hAnsi="Arial"/>
                <w:sz w:val="20"/>
                <w:szCs w:val="20"/>
              </w:rPr>
              <w:t xml:space="preserve">Artefact serialisation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0e1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6b4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a0e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2026-03-06T09:13:09.133Z</dcterms:created>
  <dcterms:modified xsi:type="dcterms:W3CDTF">2026-03-06T09:13:09.133Z</dcterms:modified>
</cp:coreProperties>
</file>

<file path=docProps/custom.xml><?xml version="1.0" encoding="utf-8"?>
<Properties xmlns="http://schemas.openxmlformats.org/officeDocument/2006/custom-properties" xmlns:vt="http://schemas.openxmlformats.org/officeDocument/2006/docPropsVTypes"/>
</file>