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A2" w:rsidRPr="00B408A2" w:rsidRDefault="00B408A2">
      <w:pPr>
        <w:rPr>
          <w:rFonts w:cstheme="minorHAnsi"/>
          <w:sz w:val="15"/>
          <w:szCs w:val="15"/>
        </w:rPr>
      </w:pPr>
      <w:r w:rsidRPr="00B408A2">
        <w:rPr>
          <w:rFonts w:cstheme="minorHAnsi"/>
          <w:sz w:val="15"/>
          <w:szCs w:val="15"/>
        </w:rPr>
        <w:t>Понятие финансового рынка, характеристика его элементов.</w:t>
      </w:r>
    </w:p>
    <w:p w:rsidR="007318E0" w:rsidRPr="00B408A2" w:rsidRDefault="00B408A2">
      <w:pPr>
        <w:rPr>
          <w:rFonts w:cstheme="minorHAnsi"/>
          <w:sz w:val="15"/>
          <w:szCs w:val="15"/>
        </w:rPr>
      </w:pPr>
      <w:r w:rsidRPr="00B408A2">
        <w:rPr>
          <w:rFonts w:cstheme="minorHAnsi"/>
          <w:b/>
          <w:sz w:val="15"/>
          <w:szCs w:val="15"/>
        </w:rPr>
        <w:t>финансовый рынок</w:t>
      </w:r>
      <w:r w:rsidRPr="00B408A2">
        <w:rPr>
          <w:rFonts w:cstheme="minorHAnsi"/>
          <w:sz w:val="15"/>
          <w:szCs w:val="15"/>
        </w:rPr>
        <w:t xml:space="preserve"> — это специфическая сфера денежных операций, где объектом сделок являются свободные денежные средства населения, организаций и государства, а также муниципальных образований. Финансовый рынок обеспечивает разрешение противоречия, при котором у одних экономических субъектов в силу разных причин возникают временно свободные денежные средства, а у других — дополнительная потребность в источниках формирования финансовых ресурсов</w:t>
      </w:r>
    </w:p>
    <w:p w:rsidR="00B408A2" w:rsidRPr="00B408A2" w:rsidRDefault="00B408A2">
      <w:pPr>
        <w:rPr>
          <w:rFonts w:cstheme="minorHAnsi"/>
          <w:sz w:val="15"/>
          <w:szCs w:val="15"/>
        </w:rPr>
      </w:pPr>
      <w:r w:rsidRPr="00B408A2">
        <w:rPr>
          <w:rFonts w:cstheme="minorHAnsi"/>
          <w:sz w:val="15"/>
          <w:szCs w:val="15"/>
        </w:rPr>
        <w:t xml:space="preserve">Прежде </w:t>
      </w:r>
      <w:proofErr w:type="gramStart"/>
      <w:r w:rsidRPr="00B408A2">
        <w:rPr>
          <w:rFonts w:cstheme="minorHAnsi"/>
          <w:sz w:val="15"/>
          <w:szCs w:val="15"/>
        </w:rPr>
        <w:t>всего</w:t>
      </w:r>
      <w:proofErr w:type="gramEnd"/>
      <w:r w:rsidRPr="00B408A2">
        <w:rPr>
          <w:rFonts w:cstheme="minorHAnsi"/>
          <w:sz w:val="15"/>
          <w:szCs w:val="15"/>
        </w:rPr>
        <w:t xml:space="preserve"> элементы финансового рынка называют так по характеру финансовых обязательств и финансовых активов (или финансовых инструментов).</w:t>
      </w:r>
    </w:p>
    <w:p w:rsidR="00B408A2" w:rsidRPr="00B408A2" w:rsidRDefault="00B408A2">
      <w:pPr>
        <w:rPr>
          <w:rFonts w:cstheme="minorHAnsi"/>
          <w:sz w:val="15"/>
          <w:szCs w:val="15"/>
        </w:rPr>
      </w:pPr>
      <w:r w:rsidRPr="00B408A2">
        <w:rPr>
          <w:rFonts w:cstheme="minorHAnsi"/>
          <w:sz w:val="15"/>
          <w:szCs w:val="15"/>
        </w:rPr>
        <w:t>1)при обзорах финансовых рынков финансовые аналитики выделяют три их элемента: рынок ценных бумаг,</w:t>
      </w:r>
    </w:p>
    <w:p w:rsidR="00B408A2" w:rsidRPr="00B408A2" w:rsidRDefault="00B408A2">
      <w:pPr>
        <w:rPr>
          <w:rFonts w:cstheme="minorHAnsi"/>
          <w:sz w:val="15"/>
          <w:szCs w:val="15"/>
        </w:rPr>
      </w:pPr>
      <w:r w:rsidRPr="00B408A2">
        <w:rPr>
          <w:rFonts w:cstheme="minorHAnsi"/>
          <w:sz w:val="15"/>
          <w:szCs w:val="15"/>
        </w:rPr>
        <w:t xml:space="preserve"> 2) кредитный рынок (в первую очередь рынок межбанковских кредитов)</w:t>
      </w:r>
    </w:p>
    <w:p w:rsidR="00B408A2" w:rsidRPr="00B408A2" w:rsidRDefault="00B408A2">
      <w:pPr>
        <w:rPr>
          <w:rFonts w:cstheme="minorHAnsi"/>
          <w:sz w:val="15"/>
          <w:szCs w:val="15"/>
        </w:rPr>
      </w:pPr>
      <w:r w:rsidRPr="00B408A2">
        <w:rPr>
          <w:rFonts w:cstheme="minorHAnsi"/>
          <w:sz w:val="15"/>
          <w:szCs w:val="15"/>
        </w:rPr>
        <w:t xml:space="preserve"> 3) валютный рынок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b/>
          <w:bCs/>
          <w:i/>
          <w:iCs/>
          <w:color w:val="000000"/>
          <w:sz w:val="15"/>
          <w:szCs w:val="15"/>
          <w:lang w:eastAsia="ru-RU"/>
        </w:rPr>
        <w:t>Элементы финансового рынка по характеру финансовых инструментов</w:t>
      </w: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:</w:t>
      </w:r>
    </w:p>
    <w:p w:rsidR="00B408A2" w:rsidRPr="00B408A2" w:rsidRDefault="00B408A2" w:rsidP="00B4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рынок ценных бумаг;</w:t>
      </w:r>
    </w:p>
    <w:p w:rsidR="00B408A2" w:rsidRPr="00B408A2" w:rsidRDefault="00B408A2" w:rsidP="00B4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кредитный рынок;</w:t>
      </w:r>
    </w:p>
    <w:p w:rsidR="00B408A2" w:rsidRPr="00B408A2" w:rsidRDefault="00B408A2" w:rsidP="00B4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валютный рынок;</w:t>
      </w:r>
    </w:p>
    <w:p w:rsidR="00B408A2" w:rsidRPr="00B408A2" w:rsidRDefault="00B408A2" w:rsidP="00B4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страховой рынок.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b/>
          <w:bCs/>
          <w:color w:val="000000"/>
          <w:sz w:val="15"/>
          <w:szCs w:val="15"/>
          <w:lang w:eastAsia="ru-RU"/>
        </w:rPr>
        <w:t>Рынок ценных бумаг</w:t>
      </w: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 принято структурировать по видам ценных бумаг. Ценные бумаги могут оформлять отношения займа и право требования кредитора погасить долговое обязательство - </w:t>
      </w:r>
      <w:r w:rsidRPr="00B408A2">
        <w:rPr>
          <w:rFonts w:eastAsia="Times New Roman" w:cstheme="minorHAnsi"/>
          <w:b/>
          <w:bCs/>
          <w:color w:val="000000"/>
          <w:sz w:val="15"/>
          <w:szCs w:val="15"/>
          <w:lang w:eastAsia="ru-RU"/>
        </w:rPr>
        <w:t>долговые ценные бумаги</w:t>
      </w: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, к ним относятся облигации, векселя, депозитные и сберегательные сертификаты.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Ценные бумаги, удостоверяющие имущественные права владельца на долю в уставном капитале или паевом фонде, другие права, предусмотренные эмиссией этой бумаги - </w:t>
      </w:r>
      <w:r w:rsidRPr="00B408A2">
        <w:rPr>
          <w:rFonts w:eastAsia="Times New Roman" w:cstheme="minorHAnsi"/>
          <w:b/>
          <w:bCs/>
          <w:color w:val="000000"/>
          <w:sz w:val="15"/>
          <w:szCs w:val="15"/>
          <w:lang w:eastAsia="ru-RU"/>
        </w:rPr>
        <w:t>долевые ценные бумаги</w:t>
      </w: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, к ним относят акции, паи паевых инвестиционных фондов.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b/>
          <w:bCs/>
          <w:color w:val="000000"/>
          <w:sz w:val="15"/>
          <w:szCs w:val="15"/>
          <w:lang w:eastAsia="ru-RU"/>
        </w:rPr>
        <w:t>Производные ценные бумаги</w:t>
      </w: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 - </w:t>
      </w:r>
      <w:proofErr w:type="spellStart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деривативы</w:t>
      </w:r>
      <w:proofErr w:type="spellEnd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, к ним относят опционы, фьючерсы, варранты, цены которых привязаны </w:t>
      </w:r>
      <w:proofErr w:type="gramStart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в</w:t>
      </w:r>
      <w:proofErr w:type="gramEnd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 базисному активу (например, курсу акций).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На рынке ценных бумаг могут обращаться </w:t>
      </w:r>
      <w:proofErr w:type="spellStart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гос</w:t>
      </w:r>
      <w:proofErr w:type="spellEnd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 и муниципальные ценные бумаги, а также ценные бумаги, выпущенные организациями-эмитентами (корпоративные ценные бумаги).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Центральное место на кредитном рынке занимает рынок межбанковских кредитов. Объектами торговли на валютном рынке являются валютные ценности. Страховые услуги - объект торговли на страховом рынке.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Существует взаимосвязь элементов финансового рынка - для владельцев временно свободных сре</w:t>
      </w:r>
      <w:proofErr w:type="gramStart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дств вс</w:t>
      </w:r>
      <w:proofErr w:type="gramEnd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егда есть альтернатива их размещения на том или ином сегменте рынка.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Органы государственной власти и местного самоуправления, организации и домохозяйства могут преследовать разные цели при осуществлении инвестиций на финансовом рынке, а также иметь разные по срокам возможности размещения временно свободных денежных средств. Например, целью коммерческой организации может быть получение </w:t>
      </w:r>
      <w:proofErr w:type="spellStart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внереализационной</w:t>
      </w:r>
      <w:proofErr w:type="spellEnd"/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 xml:space="preserve"> прибыли, когда она на короткий срок размещает средства на банковском депозите.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Элементы финансового рынка по срокам вложений:</w:t>
      </w:r>
    </w:p>
    <w:p w:rsidR="00B408A2" w:rsidRPr="00B408A2" w:rsidRDefault="00B408A2" w:rsidP="00B408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Рынок краткосрочных вложений (как правило, до года). Его называют </w:t>
      </w:r>
      <w:r w:rsidRPr="00B408A2">
        <w:rPr>
          <w:rFonts w:eastAsia="Times New Roman" w:cstheme="minorHAnsi"/>
          <w:b/>
          <w:bCs/>
          <w:color w:val="242424"/>
          <w:sz w:val="15"/>
          <w:szCs w:val="15"/>
          <w:lang w:eastAsia="ru-RU"/>
        </w:rPr>
        <w:t>денежным рынком</w:t>
      </w: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. Основные инструменты - чеки, векселя, валютные сделки, краткосрочные кредиты и займы;</w:t>
      </w:r>
    </w:p>
    <w:p w:rsidR="00B408A2" w:rsidRPr="00B408A2" w:rsidRDefault="00B408A2" w:rsidP="00B408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Рынок долгосрочных вложений. Его называют </w:t>
      </w:r>
      <w:r w:rsidRPr="00B408A2">
        <w:rPr>
          <w:rFonts w:eastAsia="Times New Roman" w:cstheme="minorHAnsi"/>
          <w:b/>
          <w:bCs/>
          <w:color w:val="242424"/>
          <w:sz w:val="15"/>
          <w:szCs w:val="15"/>
          <w:lang w:eastAsia="ru-RU"/>
        </w:rPr>
        <w:t>рынком капитала</w:t>
      </w: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. Основные инструменты - акции, облигации, долгосрочные кредиты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173" w:lineRule="atLeast"/>
        <w:ind w:left="403"/>
        <w:jc w:val="both"/>
        <w:rPr>
          <w:rFonts w:cstheme="minorHAnsi"/>
          <w:color w:val="000000"/>
          <w:sz w:val="15"/>
          <w:szCs w:val="15"/>
          <w:shd w:val="clear" w:color="auto" w:fill="FFFFFF"/>
        </w:rPr>
      </w:pPr>
      <w:r w:rsidRPr="00B408A2">
        <w:rPr>
          <w:rStyle w:val="a4"/>
          <w:rFonts w:cstheme="minorHAnsi"/>
          <w:i/>
          <w:iCs/>
          <w:color w:val="000000"/>
          <w:sz w:val="15"/>
          <w:szCs w:val="15"/>
          <w:shd w:val="clear" w:color="auto" w:fill="FFFFFF"/>
        </w:rPr>
        <w:t>По форме организации</w:t>
      </w:r>
      <w:r w:rsidRPr="00B408A2">
        <w:rPr>
          <w:rFonts w:cstheme="minorHAnsi"/>
          <w:color w:val="000000"/>
          <w:sz w:val="15"/>
          <w:szCs w:val="15"/>
          <w:shd w:val="clear" w:color="auto" w:fill="FFFFFF"/>
        </w:rPr>
        <w:t> финансовый рынок бывает </w:t>
      </w:r>
      <w:r w:rsidRPr="00B408A2">
        <w:rPr>
          <w:rStyle w:val="a4"/>
          <w:rFonts w:cstheme="minorHAnsi"/>
          <w:color w:val="000000"/>
          <w:sz w:val="15"/>
          <w:szCs w:val="15"/>
          <w:shd w:val="clear" w:color="auto" w:fill="FFFFFF"/>
        </w:rPr>
        <w:t>биржевой</w:t>
      </w:r>
      <w:r w:rsidRPr="00B408A2">
        <w:rPr>
          <w:rFonts w:cstheme="minorHAnsi"/>
          <w:color w:val="000000"/>
          <w:sz w:val="15"/>
          <w:szCs w:val="15"/>
          <w:shd w:val="clear" w:color="auto" w:fill="FFFFFF"/>
        </w:rPr>
        <w:t> и </w:t>
      </w:r>
      <w:r w:rsidRPr="00B408A2">
        <w:rPr>
          <w:rStyle w:val="a4"/>
          <w:rFonts w:cstheme="minorHAnsi"/>
          <w:color w:val="000000"/>
          <w:sz w:val="15"/>
          <w:szCs w:val="15"/>
          <w:shd w:val="clear" w:color="auto" w:fill="FFFFFF"/>
        </w:rPr>
        <w:t>внебиржевой</w:t>
      </w:r>
      <w:r w:rsidRPr="00B408A2">
        <w:rPr>
          <w:rFonts w:cstheme="minorHAnsi"/>
          <w:color w:val="000000"/>
          <w:sz w:val="15"/>
          <w:szCs w:val="15"/>
          <w:shd w:val="clear" w:color="auto" w:fill="FFFFFF"/>
        </w:rPr>
        <w:t>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240" w:lineRule="auto"/>
        <w:ind w:firstLine="173"/>
        <w:jc w:val="both"/>
        <w:rPr>
          <w:rFonts w:eastAsia="Times New Roman" w:cstheme="minorHAnsi"/>
          <w:color w:val="000000"/>
          <w:sz w:val="15"/>
          <w:szCs w:val="15"/>
          <w:lang w:eastAsia="ru-RU"/>
        </w:rPr>
      </w:pPr>
      <w:r w:rsidRPr="00B408A2">
        <w:rPr>
          <w:rFonts w:eastAsia="Times New Roman" w:cstheme="minorHAnsi"/>
          <w:b/>
          <w:bCs/>
          <w:i/>
          <w:iCs/>
          <w:color w:val="000000"/>
          <w:sz w:val="15"/>
          <w:szCs w:val="15"/>
          <w:lang w:eastAsia="ru-RU"/>
        </w:rPr>
        <w:t xml:space="preserve">элементом финансового рынка по видам сделок </w:t>
      </w:r>
      <w:r w:rsidRPr="00B408A2">
        <w:rPr>
          <w:rFonts w:eastAsia="Times New Roman" w:cstheme="minorHAnsi"/>
          <w:color w:val="000000"/>
          <w:sz w:val="15"/>
          <w:szCs w:val="15"/>
          <w:lang w:eastAsia="ru-RU"/>
        </w:rPr>
        <w:t>является:</w:t>
      </w:r>
    </w:p>
    <w:p w:rsidR="00B408A2" w:rsidRPr="00B408A2" w:rsidRDefault="00B408A2" w:rsidP="00B408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рынок кассовых сделок (спот-рынок);</w:t>
      </w:r>
    </w:p>
    <w:p w:rsidR="00B408A2" w:rsidRPr="00B408A2" w:rsidRDefault="00B408A2" w:rsidP="00B408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73" w:lineRule="atLeast"/>
        <w:ind w:left="230" w:firstLine="17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eastAsia="Times New Roman" w:cstheme="minorHAnsi"/>
          <w:color w:val="242424"/>
          <w:sz w:val="15"/>
          <w:szCs w:val="15"/>
          <w:lang w:eastAsia="ru-RU"/>
        </w:rPr>
        <w:t>- рынок срочных сделок.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173" w:lineRule="atLeast"/>
        <w:ind w:left="403"/>
        <w:jc w:val="both"/>
        <w:rPr>
          <w:rFonts w:cstheme="minorHAnsi"/>
          <w:color w:val="000000"/>
          <w:sz w:val="15"/>
          <w:szCs w:val="15"/>
          <w:shd w:val="clear" w:color="auto" w:fill="FFFFFF"/>
        </w:rPr>
      </w:pPr>
      <w:r w:rsidRPr="00B408A2">
        <w:rPr>
          <w:rFonts w:cstheme="minorHAnsi"/>
          <w:color w:val="000000"/>
          <w:sz w:val="15"/>
          <w:szCs w:val="15"/>
          <w:shd w:val="clear" w:color="auto" w:fill="FFFFFF"/>
        </w:rPr>
        <w:t>Основные инструменты срочных сделок - ценные бумаги, производные от акций, например опцион, фьючерс, форвард, они применяются не только на финансовых рынках. 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173" w:lineRule="atLeast"/>
        <w:ind w:left="403"/>
        <w:jc w:val="both"/>
        <w:rPr>
          <w:rFonts w:eastAsia="Times New Roman" w:cstheme="minorHAnsi"/>
          <w:color w:val="242424"/>
          <w:sz w:val="15"/>
          <w:szCs w:val="15"/>
          <w:lang w:eastAsia="ru-RU"/>
        </w:rPr>
      </w:pPr>
      <w:r w:rsidRPr="00B408A2">
        <w:rPr>
          <w:rFonts w:cstheme="minorHAnsi"/>
          <w:color w:val="000000"/>
          <w:sz w:val="15"/>
          <w:szCs w:val="15"/>
          <w:shd w:val="clear" w:color="auto" w:fill="FFFFFF"/>
        </w:rPr>
        <w:t>.</w:t>
      </w:r>
    </w:p>
    <w:p w:rsidR="00B408A2" w:rsidRPr="00B408A2" w:rsidRDefault="00B408A2" w:rsidP="00B408A2">
      <w:pPr>
        <w:shd w:val="clear" w:color="auto" w:fill="FFFFFF"/>
        <w:spacing w:before="100" w:beforeAutospacing="1" w:after="100" w:afterAutospacing="1" w:line="173" w:lineRule="atLeast"/>
        <w:ind w:left="403"/>
        <w:jc w:val="both"/>
        <w:rPr>
          <w:rFonts w:ascii="Palatino Linotype" w:hAnsi="Palatino Linotype"/>
          <w:color w:val="000000"/>
          <w:sz w:val="15"/>
          <w:szCs w:val="15"/>
          <w:shd w:val="clear" w:color="auto" w:fill="FFFFFF"/>
        </w:rPr>
      </w:pPr>
    </w:p>
    <w:p w:rsidR="00B408A2" w:rsidRDefault="00B408A2"/>
    <w:sectPr w:rsidR="00B408A2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7F52"/>
    <w:multiLevelType w:val="multilevel"/>
    <w:tmpl w:val="632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30CCE"/>
    <w:multiLevelType w:val="multilevel"/>
    <w:tmpl w:val="EB2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A3D44"/>
    <w:multiLevelType w:val="multilevel"/>
    <w:tmpl w:val="40F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408A2"/>
    <w:rsid w:val="007318E0"/>
    <w:rsid w:val="00B408A2"/>
    <w:rsid w:val="00BB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08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2020-01-15T12:41:00Z</dcterms:created>
  <dcterms:modified xsi:type="dcterms:W3CDTF">2020-01-15T12:52:00Z</dcterms:modified>
</cp:coreProperties>
</file>