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24417d4e3df15c7dfbf6d8302562675166403dc"/>
    <w:p>
      <w:pPr>
        <w:pStyle w:val="Heading1"/>
      </w:pPr>
      <w:r>
        <w:t xml:space="preserve">Can a metric be reconstructed from a connection?</w:t>
      </w:r>
    </w:p>
    <w:p>
      <w:pPr>
        <w:pStyle w:val="FirstParagraph"/>
      </w:pPr>
      <w:r>
        <w:t xml:space="preserve">For a given connection</w:t>
      </w:r>
      <w:r>
        <w:t xml:space="preserve"> </w:t>
      </w:r>
      <m:oMath>
        <m:sSubSup>
          <m:e>
            <m:r>
              <m:t>Γ</m:t>
            </m:r>
          </m:e>
          <m:sub>
            <m:r>
              <m:t>μ</m:t>
            </m:r>
            <m:r>
              <m:t>ν</m:t>
            </m:r>
          </m:sub>
          <m:sup>
            <m:r>
              <m:t>λ</m:t>
            </m:r>
          </m:sup>
        </m:sSubSup>
      </m:oMath>
      <w:r>
        <w:t xml:space="preserve">, can we derive the metric</w:t>
      </w:r>
      <w:r>
        <w:t xml:space="preserve"> </w:t>
      </w:r>
      <m:oMath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</m:oMath>
      <w:r>
        <w:t xml:space="preserve"> </w:t>
      </w:r>
      <w:r>
        <w:t xml:space="preserve">standing behind it?</w:t>
      </w:r>
    </w:p>
    <w:bookmarkStart w:id="20" w:name="short-answer"/>
    <w:p>
      <w:pPr>
        <w:pStyle w:val="Heading2"/>
      </w:pPr>
      <w:r>
        <w:t xml:space="preserve">Short answer</w:t>
      </w:r>
    </w:p>
    <w:p>
      <w:pPr>
        <w:pStyle w:val="FirstParagraph"/>
      </w:pPr>
      <w:r>
        <w:t xml:space="preserve">Sometimes, but not for an arbitrary connection. If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Levi-Civita connection of a metric, then the metric must satisfy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r>
                <m:t>λ</m:t>
              </m:r>
            </m:sub>
          </m:sSub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or, in coordinates,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t>λ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μ</m:t>
                  </m:r>
                  <m:r>
                    <m:t>ν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Γ</m:t>
                  </m:r>
                </m:e>
                <m:sub>
                  <m:r>
                    <m:t>λ</m:t>
                  </m:r>
                  <m:r>
                    <m:t>μ</m:t>
                  </m:r>
                </m:sub>
                <m:sup>
                  <m:r>
                    <m:t>ρ</m:t>
                  </m:r>
                </m:sup>
              </m:sSubSup>
              <m:sSub>
                <m:e>
                  <m:r>
                    <m:t>g</m:t>
                  </m:r>
                </m:e>
                <m:sub>
                  <m:r>
                    <m:t>ρ</m:t>
                  </m:r>
                  <m:r>
                    <m:t>ν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Γ</m:t>
                  </m:r>
                </m:e>
                <m:sub>
                  <m:r>
                    <m:t>λ</m:t>
                  </m:r>
                  <m:r>
                    <m:t>ν</m:t>
                  </m:r>
                </m:sub>
                <m:sup>
                  <m:r>
                    <m:t>ρ</m:t>
                  </m:r>
                </m:sup>
              </m:sSubSup>
              <m:sSub>
                <m:e>
                  <m:r>
                    <m:t>g</m:t>
                  </m:r>
                </m:e>
                <m:sub>
                  <m:r>
                    <m:t>μ</m:t>
                  </m:r>
                  <m:r>
                    <m:t>ρ</m:t>
                  </m:r>
                </m:sub>
              </m:sSub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This is a linear, first-order system of partial differential equations for</w:t>
      </w:r>
      <w:r>
        <w:t xml:space="preserve"> </w:t>
      </w:r>
      <w:r>
        <w:t xml:space="preserve">the components of</w:t>
      </w:r>
      <w:r>
        <w:t xml:space="preserve"> </w:t>
      </w:r>
      <m:oMath>
        <m:r>
          <m:t>g</m:t>
        </m:r>
      </m:oMath>
      <w:r>
        <w:t xml:space="preserve">. A solution must also be symmetric, non-degenerate,</w:t>
      </w:r>
      <w:r>
        <w:t xml:space="preserve"> </w:t>
      </w:r>
      <w:r>
        <w:t xml:space="preserve">and have the desired signature. In addition, a Levi-Civita connection must</w:t>
      </w:r>
      <w:r>
        <w:t xml:space="preserve"> </w:t>
      </w:r>
      <w:r>
        <w:t xml:space="preserve">be torsion-free: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Γ</m:t>
              </m:r>
            </m:e>
            <m:sub>
              <m:r>
                <m:t>μ</m:t>
              </m:r>
              <m:r>
                <m:t>ν</m:t>
              </m:r>
            </m:sub>
            <m:sup>
              <m:r>
                <m:t>λ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Γ</m:t>
              </m:r>
            </m:e>
            <m:sub>
              <m:r>
                <m:t>ν</m:t>
              </m:r>
              <m:r>
                <m:t>μ</m:t>
              </m:r>
            </m:sub>
            <m:sup>
              <m:r>
                <m:t>λ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Thus, knowing a connection does not guarantee that a metric exists. When a</w:t>
      </w:r>
      <w:r>
        <w:t xml:space="preserve"> </w:t>
      </w:r>
      <w:r>
        <w:t xml:space="preserve">metric does exist, the connection usually determines it only up to an</w:t>
      </w:r>
      <w:r>
        <w:t xml:space="preserve"> </w:t>
      </w:r>
      <w:r>
        <w:t xml:space="preserve">overall nonzero constant: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↦</m:t>
          </m:r>
          <m:r>
            <m:t>C</m:t>
          </m:r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a constant rescaling does not change the Christoffel symbols.</w:t>
      </w:r>
    </w:p>
    <w:bookmarkEnd w:id="20"/>
    <w:bookmarkStart w:id="21" w:name="existence-and-integrability"/>
    <w:p>
      <w:pPr>
        <w:pStyle w:val="Heading2"/>
      </w:pPr>
      <w:r>
        <w:t xml:space="preserve">Existence and integrability</w:t>
      </w:r>
    </w:p>
    <w:p>
      <w:pPr>
        <w:pStyle w:val="FirstParagraph"/>
      </w:pPr>
      <w:r>
        <w:t xml:space="preserve">Choose a symmetric matrix</w:t>
      </w:r>
      <w:r>
        <w:t xml:space="preserve"> </w:t>
      </w:r>
      <m:oMath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p</m:t>
            </m:r>
          </m:e>
        </m:d>
      </m:oMath>
      <w:r>
        <w:t xml:space="preserve"> </w:t>
      </w:r>
      <w:r>
        <w:t xml:space="preserve">at one point</w:t>
      </w:r>
      <w:r>
        <w:t xml:space="preserve"> </w:t>
      </w:r>
      <m:oMath>
        <m:r>
          <m:t>p</m:t>
        </m:r>
      </m:oMath>
      <w:r>
        <w:t xml:space="preserve">. The equation</w:t>
      </w:r>
      <w:r>
        <w:t xml:space="preserve"> </w:t>
      </w:r>
      <m:oMath>
        <m:r>
          <m:rPr>
            <m:sty m:val="p"/>
          </m:rPr>
          <m:t>∇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parallel-transports this matrix to nearby points. The result is</w:t>
      </w:r>
      <w:r>
        <w:t xml:space="preserve"> </w:t>
      </w:r>
      <w:r>
        <w:t xml:space="preserve">independent of the path precisely when the chosen matrix is preserved by</w:t>
      </w:r>
      <w:r>
        <w:t xml:space="preserve"> </w:t>
      </w:r>
      <w:r>
        <w:t xml:space="preserve">the holonomy of the connection. For every closed loop based at</w:t>
      </w:r>
      <w:r>
        <w:t xml:space="preserve"> </w:t>
      </w:r>
      <m:oMath>
        <m:r>
          <m:t>p</m:t>
        </m:r>
      </m:oMath>
      <w:r>
        <w:t xml:space="preserve">, with</w:t>
      </w:r>
      <w:r>
        <w:t xml:space="preserve"> </w:t>
      </w:r>
      <w:r>
        <w:t xml:space="preserve">parallel-transport matrix</w:t>
      </w:r>
      <w:r>
        <w:t xml:space="preserve"> </w:t>
      </w:r>
      <m:oMath>
        <m:r>
          <m:t>P</m:t>
        </m:r>
      </m:oMath>
      <w:r>
        <w:t xml:space="preserve">, one needs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P</m:t>
              </m:r>
            </m:e>
            <m:sup>
              <m:r>
                <m:t>T</m:t>
              </m:r>
            </m:sup>
          </m:sSup>
          <m:r>
            <m:t>g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</m:e>
          </m:d>
          <m:r>
            <m:t>P</m:t>
          </m:r>
          <m:r>
            <m:rPr>
              <m:sty m:val="p"/>
            </m:rPr>
            <m:t>=</m:t>
          </m:r>
          <m:r>
            <m:t>g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useful local necessary condition follows by commuting two covariant</w:t>
      </w:r>
      <w:r>
        <w:t xml:space="preserve"> </w:t>
      </w:r>
      <w:r>
        <w:t xml:space="preserve">derivatives: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α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β</m:t>
                  </m:r>
                </m:sub>
              </m:sSub>
            </m:e>
          </m:d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R</m:t>
              </m:r>
            </m:e>
            <m:sup>
              <m:r>
                <m:t>ρ</m:t>
              </m:r>
            </m:sup>
          </m:sSup>
          <m:sSub>
            <m:e>
              <m:r>
                <m:t>​</m:t>
              </m:r>
            </m:e>
            <m:sub>
              <m:r>
                <m:t>μ</m:t>
              </m:r>
              <m:r>
                <m:t>α</m:t>
              </m:r>
              <m:r>
                <m:t>β</m:t>
              </m:r>
            </m:sub>
          </m:sSub>
          <m:sSub>
            <m:e>
              <m:r>
                <m:t>g</m:t>
              </m:r>
            </m:e>
            <m:sub>
              <m:r>
                <m:t>ρ</m:t>
              </m:r>
              <m:r>
                <m:t>ν</m:t>
              </m:r>
            </m:sub>
          </m:sSub>
          <m:r>
            <m:rPr>
              <m:sty m:val="p"/>
            </m:rPr>
            <m:t>−</m:t>
          </m:r>
          <m:sSup>
            <m:e>
              <m:r>
                <m:t>R</m:t>
              </m:r>
            </m:e>
            <m:sup>
              <m:r>
                <m:t>ρ</m:t>
              </m:r>
            </m:sup>
          </m:sSup>
          <m:sSub>
            <m:e>
              <m:r>
                <m:t>​</m:t>
              </m:r>
            </m:e>
            <m:sub>
              <m:r>
                <m:t>ν</m:t>
              </m:r>
              <m:r>
                <m:t>α</m:t>
              </m:r>
              <m:r>
                <m:t>β</m:t>
              </m:r>
            </m:sub>
          </m:sSub>
          <m:sSub>
            <m:e>
              <m:r>
                <m:t>g</m:t>
              </m:r>
            </m:e>
            <m:sub>
              <m:r>
                <m:t>μ</m:t>
              </m:r>
              <m:r>
                <m:t>ρ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a point, these are linear algebraic equations for the unknown entries of</w:t>
      </w:r>
      <w:r>
        <w:t xml:space="preserve"> </w:t>
      </w:r>
      <m:oMath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p</m:t>
            </m:r>
          </m:e>
        </m:d>
      </m:oMath>
      <w:r>
        <w:t xml:space="preserve">. Curvature transported from other points, or equivalently</w:t>
      </w:r>
      <w:r>
        <w:t xml:space="preserve"> </w:t>
      </w:r>
      <w:r>
        <w:t xml:space="preserve">the full holonomy condition, supplies the complete integrability test.</w:t>
      </w:r>
      <w:r>
        <w:t xml:space="preserve"> </w:t>
      </w:r>
      <w:r>
        <w:t xml:space="preserve">Consequently, a practical reconstruction procedure is:</w:t>
      </w:r>
    </w:p>
    <w:p>
      <w:pPr>
        <w:numPr>
          <w:ilvl w:val="0"/>
          <w:numId w:val="1001"/>
        </w:numPr>
        <w:pStyle w:val="Compact"/>
      </w:pPr>
      <w:r>
        <w:t xml:space="preserve">Check that the connection is torsion-free.</w:t>
      </w:r>
    </w:p>
    <w:p>
      <w:pPr>
        <w:numPr>
          <w:ilvl w:val="0"/>
          <w:numId w:val="1001"/>
        </w:numPr>
        <w:pStyle w:val="Compact"/>
      </w:pPr>
      <w:r>
        <w:t xml:space="preserve">Solve the curvature/holonomy constraints for a symmetric,</w:t>
      </w:r>
      <w:r>
        <w:t xml:space="preserve"> </w:t>
      </w:r>
      <w:r>
        <w:t xml:space="preserve">non-degenerate</w:t>
      </w:r>
      <w: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</m:e>
        </m:d>
      </m:oMath>
      <w:r>
        <w:t xml:space="preserve"> </w:t>
      </w:r>
      <w:r>
        <w:t xml:space="preserve">of the desired signature.</w:t>
      </w:r>
    </w:p>
    <w:p>
      <w:pPr>
        <w:numPr>
          <w:ilvl w:val="0"/>
          <w:numId w:val="1001"/>
        </w:numPr>
        <w:pStyle w:val="Compact"/>
      </w:pPr>
      <w:r>
        <w:t xml:space="preserve">Integrate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λ</m:t>
            </m:r>
          </m:sub>
        </m:sSub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Substitute the result into the Christoffel formula and verify that it</w:t>
      </w:r>
      <w:r>
        <w:t xml:space="preserve"> </w:t>
      </w:r>
      <w:r>
        <w:t xml:space="preserve">reproduces the original connection.</w:t>
      </w:r>
    </w:p>
    <w:p>
      <w:pPr>
        <w:pStyle w:val="FirstParagraph"/>
      </w:pPr>
      <w:r>
        <w:t xml:space="preserve">The solution need not always be unique up to one constant. The set of all</w:t>
      </w:r>
      <w:r>
        <w:t xml:space="preserve"> </w:t>
      </w:r>
      <w:r>
        <w:t xml:space="preserve">parallel symmetric bilinear forms is a vector space. Reducible or flat</w:t>
      </w:r>
      <w:r>
        <w:t xml:space="preserve"> </w:t>
      </w:r>
      <w:r>
        <w:t xml:space="preserve">connections can preserve several independent metrics. For a generic</w:t>
      </w:r>
      <w:r>
        <w:t xml:space="preserve"> </w:t>
      </w:r>
      <w:r>
        <w:t xml:space="preserve">irreducible metric holonomy, however, the only freedom is the common</w:t>
      </w:r>
      <w:r>
        <w:t xml:space="preserve"> </w:t>
      </w:r>
      <w:r>
        <w:t xml:space="preserve">constant scale.</w:t>
      </w:r>
    </w:p>
    <w:p>
      <w:pPr>
        <w:pStyle w:val="BodyText"/>
      </w:pPr>
      <w:r>
        <w:t xml:space="preserve">If the supplied connection has torsion, it cannot be the Levi-Civita</w:t>
      </w:r>
      <w:r>
        <w:t xml:space="preserve"> </w:t>
      </w:r>
      <w:r>
        <w:t xml:space="preserve">connection of any metric. It could still be compatible with a metric in a</w:t>
      </w:r>
      <w:r>
        <w:t xml:space="preserve"> </w:t>
      </w:r>
      <w:r>
        <w:t xml:space="preserve">theory with torsion, but then metric compatibility alone generally does not</w:t>
      </w:r>
      <w:r>
        <w:t xml:space="preserve"> </w:t>
      </w:r>
      <w:r>
        <w:t xml:space="preserve">select a unique metric.</w:t>
      </w:r>
    </w:p>
    <w:bookmarkEnd w:id="21"/>
    <w:bookmarkStart w:id="22" w:name="test-the-schwarzschild-connection"/>
    <w:p>
      <w:pPr>
        <w:pStyle w:val="Heading2"/>
      </w:pPr>
      <w:r>
        <w:t xml:space="preserve">Test: the Schwarzschild connection</w:t>
      </w:r>
    </w:p>
    <w:p>
      <w:pPr>
        <w:pStyle w:val="FirstParagraph"/>
      </w:pPr>
      <w:r>
        <w:t xml:space="preserve">Work in Schwarzschild coordinates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r</m:t>
            </m:r>
            <m:r>
              <m:rPr>
                <m:sty m:val="p"/>
              </m:rPr>
              <m:t>,</m:t>
            </m:r>
            <m:r>
              <m:t>θ</m:t>
            </m:r>
            <m:r>
              <m:rPr>
                <m:sty m:val="p"/>
              </m:rPr>
              <m:t>,</m:t>
            </m:r>
            <m:r>
              <m:t>ϕ</m:t>
            </m:r>
          </m:e>
        </m:d>
      </m:oMath>
      <w:r>
        <w:t xml:space="preserve">, away from the</w:t>
      </w:r>
      <w:r>
        <w:t xml:space="preserve"> </w:t>
      </w:r>
      <w:r>
        <w:t xml:space="preserve">coordinate singularity 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, and put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M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Suppose that only the Schwarzschild connection is given. Some of its</w:t>
      </w:r>
      <w:r>
        <w:t xml:space="preserve"> </w:t>
      </w:r>
      <w:r>
        <w:t xml:space="preserve">nonzero coefficients are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p>
                  <m:e>
                    <m:r>
                      <m:t>Γ</m:t>
                    </m:r>
                  </m:e>
                  <m:sup>
                    <m:r>
                      <m:t>t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sSup>
                  <m:e>
                    <m:r>
                      <m:t>Γ</m:t>
                    </m:r>
                  </m:e>
                  <m:sup>
                    <m:r>
                      <m:t>t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  <m:r>
                      <m:t>f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t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r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  <m:r>
                      <m:t>f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</m:mr>
            <m:mr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θ</m:t>
                    </m:r>
                    <m:r>
                      <m:t>θ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r</m:t>
                </m:r>
                <m:r>
                  <m:t>f</m:t>
                </m:r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ϕ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r</m:t>
                </m:r>
                <m:r>
                  <m:t>f</m:t>
                </m:r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2</m:t>
                    </m:r>
                  </m:sup>
                </m:sSup>
                <m:r>
                  <m:t>θ</m:t>
                </m:r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θ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θ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sSup>
                  <m:e>
                    <m:r>
                      <m:t>Γ</m:t>
                    </m:r>
                  </m:e>
                  <m:sup>
                    <m:r>
                      <m:t>ϕ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ϕ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r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</m:mr>
            <m:mr>
              <m:e>
                <m:sSup>
                  <m:e>
                    <m:r>
                      <m:t>Γ</m:t>
                    </m:r>
                  </m:e>
                  <m:sup>
                    <m:r>
                      <m:t>θ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ϕ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sin</m:t>
                </m:r>
                <m:r>
                  <m:t>θ</m:t>
                </m:r>
                <m:r>
                  <m:rPr>
                    <m:sty m:val="p"/>
                  </m:rPr>
                  <m:t>cos</m:t>
                </m:r>
                <m:r>
                  <m:t>θ</m:t>
                </m:r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ϕ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θ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cot</m:t>
                </m:r>
                <m:r>
                  <m:t>θ</m:t>
                </m:r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pStyle w:val="FirstParagraph"/>
      </w:pPr>
      <w:r>
        <w:t xml:space="preserve">To try to reconstruct the starting metric, use a diagonal, static,</w:t>
      </w:r>
      <w:r>
        <w:t xml:space="preserve"> </w:t>
      </w:r>
      <w:r>
        <w:t xml:space="preserve">spherically symmetric ansatz in these coordinates: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A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t>d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t>d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C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t>d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D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t> </m:t>
          </m:r>
          <m:r>
            <m:t>d</m:t>
          </m:r>
          <m:sSup>
            <m:e>
              <m:r>
                <m:t>ϕ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radial metric-compatibility equations give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′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t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′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B</m:t>
              </m:r>
              <m:r>
                <m:rPr>
                  <m:sty m:val="p"/>
                </m:rPr>
                <m:t>′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′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′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θ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′</m:t>
              </m:r>
            </m:num>
            <m:den>
              <m:r>
                <m:t>D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ϕ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ϕ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Therefore,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t>f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r</m:t>
                  </m:r>
                </m:sub>
              </m:sSub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C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θ</m:t>
              </m:r>
            </m:sub>
          </m:sSub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ϕ</m:t>
              </m:r>
            </m:sub>
          </m:sSub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angular compatibility equation with indices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λ</m:t>
            </m:r>
            <m:r>
              <m:rPr>
                <m:sty m:val="p"/>
              </m:rPr>
              <m:t>,</m:t>
            </m:r>
            <m:r>
              <m:t>μ</m:t>
            </m:r>
            <m:r>
              <m:rPr>
                <m:sty m:val="p"/>
              </m:rPr>
              <m:t>,</m:t>
            </m:r>
            <m:r>
              <m:t>ν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ϕ</m:t>
            </m:r>
            <m:r>
              <m:rPr>
                <m:sty m:val="p"/>
              </m:rPr>
              <m:t>,</m:t>
            </m:r>
            <m:r>
              <m:t>θ</m:t>
            </m:r>
            <m:r>
              <m:rPr>
                <m:sty m:val="p"/>
              </m:rPr>
              <m:t>,</m:t>
            </m:r>
            <m:r>
              <m:t>ϕ</m:t>
            </m:r>
          </m:e>
        </m:d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sSup>
            <m:e>
              <m:r>
                <m:t>Γ</m:t>
              </m:r>
            </m:e>
            <m:sup>
              <m:r>
                <m:t>ϕ</m:t>
              </m:r>
            </m:sup>
          </m:sSup>
          <m:sSub>
            <m:e>
              <m:r>
                <m:t>​</m:t>
              </m:r>
            </m:e>
            <m:sub>
              <m:r>
                <m:t>ϕ</m:t>
              </m:r>
              <m:r>
                <m:t>θ</m:t>
              </m:r>
            </m:sub>
          </m:sSub>
          <m:sSub>
            <m:e>
              <m:r>
                <m:t>g</m:t>
              </m:r>
            </m:e>
            <m:sub>
              <m:r>
                <m:t>ϕ</m:t>
              </m:r>
              <m:r>
                <m:t>ϕ</m:t>
              </m:r>
            </m:sub>
          </m:sSub>
          <m:r>
            <m:rPr>
              <m:sty m:val="p"/>
            </m:rPr>
            <m:t>+</m:t>
          </m:r>
          <m:sSup>
            <m:e>
              <m: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ϕ</m:t>
              </m:r>
              <m:r>
                <m:t>ϕ</m:t>
              </m:r>
            </m:sub>
          </m:sSub>
          <m:sSub>
            <m:e>
              <m:r>
                <m:t>g</m:t>
              </m:r>
            </m:e>
            <m:sub>
              <m:r>
                <m:t>θ</m:t>
              </m:r>
              <m:r>
                <m:t>θ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ϕ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θ</m:t>
            </m:r>
          </m:sub>
        </m:sSub>
      </m:oMath>
      <w:r>
        <w:t xml:space="preserve">. The equations for components that vanish in the</w:t>
      </w:r>
      <w:r>
        <w:t xml:space="preserve"> </w:t>
      </w:r>
      <w:r>
        <w:t xml:space="preserve">diagonal ansatz are also important. For example,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t</m:t>
              </m:r>
            </m:sub>
          </m:sSub>
          <m:sSub>
            <m:e>
              <m:r>
                <m:t>g</m:t>
              </m:r>
            </m:e>
            <m:sub>
              <m:r>
                <m:t>t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t</m:t>
              </m:r>
              <m:r>
                <m:t>t</m:t>
              </m:r>
            </m:sub>
          </m:sSub>
          <m:sSub>
            <m:e>
              <m:r>
                <m:t>g</m:t>
              </m:r>
            </m:e>
            <m:sub>
              <m:r>
                <m:t>r</m:t>
              </m:r>
              <m:r>
                <m:t>r</m:t>
              </m:r>
            </m:sub>
          </m:sSub>
          <m:r>
            <m:rPr>
              <m:sty m:val="p"/>
            </m:rPr>
            <m:t>−</m:t>
          </m:r>
          <m:sSup>
            <m:e>
              <m:r>
                <m:t>Γ</m:t>
              </m:r>
            </m:e>
            <m:sup>
              <m:r>
                <m:t>t</m:t>
              </m:r>
            </m:sup>
          </m:sSup>
          <m:sSub>
            <m:e>
              <m:r>
                <m:t>​</m:t>
              </m:r>
            </m:e>
            <m:sub>
              <m:r>
                <m:t>t</m:t>
              </m:r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t</m:t>
              </m:r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implies</w:t>
      </w:r>
      <w:r>
        <w:t xml:space="preserve"> </w:t>
      </w:r>
      <m:oMath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, while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θ</m:t>
              </m:r>
            </m:sub>
          </m:sSub>
          <m:sSub>
            <m:e>
              <m:r>
                <m:t>g</m:t>
              </m:r>
            </m:e>
            <m:sub>
              <m:r>
                <m:t>r</m:t>
              </m:r>
              <m:r>
                <m:t>θ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θ</m:t>
              </m:r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θ</m:t>
              </m:r>
              <m:r>
                <m:t>θ</m:t>
              </m:r>
            </m:sub>
          </m:sSub>
          <m:r>
            <m:rPr>
              <m:sty m:val="p"/>
            </m:rPr>
            <m:t>−</m:t>
          </m:r>
          <m:sSup>
            <m:e>
              <m: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θ</m:t>
              </m:r>
              <m:r>
                <m:t>θ</m:t>
              </m:r>
            </m:sub>
          </m:sSub>
          <m:sSub>
            <m:e>
              <m:r>
                <m:t>g</m:t>
              </m:r>
            </m:e>
            <m:sub>
              <m:r>
                <m:t>r</m:t>
              </m:r>
              <m:r>
                <m:t>r</m:t>
              </m:r>
            </m:sub>
          </m:sSub>
        </m:oMath>
      </m:oMathPara>
    </w:p>
    <w:p>
      <w:pPr>
        <w:pStyle w:val="FirstParagraph"/>
      </w:pPr>
      <w:r>
        <w:t xml:space="preserve">implies</w:t>
      </w:r>
      <w:r>
        <w:t xml:space="preserve"> </w:t>
      </w:r>
      <m:oMath>
        <m:sSub>
          <m:e>
            <m:r>
              <m:t>c</m:t>
            </m:r>
          </m:e>
          <m:sub>
            <m:r>
              <m:t>θ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r</m:t>
            </m:r>
          </m:sub>
        </m:sSub>
      </m:oMath>
      <w:r>
        <w:t xml:space="preserve">. Hence all four constants coincide: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ϕ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reconstructed metric is therefore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d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c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M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  <m:r>
                    <m:t>d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2</m:t>
                              </m:r>
                              <m:r>
                                <m:t>M</m:t>
                              </m:r>
                            </m:num>
                            <m:den>
                              <m:r>
                                <m:t>r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d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d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θ</m:t>
                  </m:r>
                  <m:r>
                    <m:t> </m:t>
                  </m:r>
                  <m:r>
                    <m:t>d</m:t>
                  </m:r>
                  <m:sSup>
                    <m:e>
                      <m:r>
                        <m:t>ϕ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this has the usual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</m:e>
        </m:d>
      </m:oMath>
      <w:r>
        <w:t xml:space="preserve"> </w:t>
      </w:r>
      <w:r>
        <w:t xml:space="preserve">signature. Thus the Schwarzschild</w:t>
      </w:r>
      <w:r>
        <w:t xml:space="preserve"> </w:t>
      </w:r>
      <w:r>
        <w:t xml:space="preserve">connection reconstructs the Schwarzschild metric, with exactly the expected</w:t>
      </w:r>
      <w:r>
        <w:t xml:space="preserve"> </w:t>
      </w:r>
      <w:r>
        <w:t xml:space="preserve">undetermined overall constant. The mass parameter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already encoded in</w:t>
      </w:r>
      <w:r>
        <w:t xml:space="preserve"> </w:t>
      </w:r>
      <w:r>
        <w:t xml:space="preserve">the connection and is recovered in the radial function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r</m:t>
            </m:r>
          </m:e>
        </m:d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case deserves one qualification: the connection is then flat.</w:t>
      </w:r>
      <w:r>
        <w:t xml:space="preserve"> </w:t>
      </w:r>
      <w:r>
        <w:t xml:space="preserve">Without imposing the static, diagonal, spherically symmetric ansatz, a flat</w:t>
      </w:r>
      <w:r>
        <w:t xml:space="preserve"> </w:t>
      </w:r>
      <w:r>
        <w:t xml:space="preserve">connection preserves a larger family of constant bilinear forms in affine</w:t>
      </w:r>
      <w:r>
        <w:t xml:space="preserve"> </w:t>
      </w:r>
      <w:r>
        <w:t xml:space="preserve">Cartesian coordinates. This is an example in which the same connection can</w:t>
      </w:r>
      <w:r>
        <w:t xml:space="preserve"> </w:t>
      </w:r>
      <w:r>
        <w:t xml:space="preserve">come from more than constant rescalings of one metric.</w:t>
      </w:r>
    </w:p>
    <w:bookmarkEnd w:id="22"/>
    <w:bookmarkStart w:id="25" w:name="test-the-taub-nut-connection"/>
    <w:p>
      <w:pPr>
        <w:pStyle w:val="Heading2"/>
      </w:pPr>
      <w:r>
        <w:t xml:space="preserve">Test: the Taub-NUT connection</w:t>
      </w:r>
    </w:p>
    <w:p>
      <w:pPr>
        <w:pStyle w:val="FirstParagraph"/>
      </w:pPr>
      <w:r>
        <w:t xml:space="preserve">The Lorentzian Taub-NUT metric has an off-diagonal</w:t>
      </w:r>
      <w:r>
        <w:t xml:space="preserve"> </w:t>
      </w:r>
      <m:oMath>
        <m:r>
          <m:t>t</m:t>
        </m:r>
      </m:oMath>
      <w:r>
        <w:t xml:space="preserve">–</w:t>
      </w:r>
      <m:oMath>
        <m:r>
          <m:t>ϕ</m:t>
        </m:r>
      </m:oMath>
      <w:r>
        <w:t xml:space="preserve"> </w:t>
      </w:r>
      <w:r>
        <w:t xml:space="preserve">component, so</w:t>
      </w:r>
      <w:r>
        <w:t xml:space="preserve"> </w:t>
      </w:r>
      <w:r>
        <w:t xml:space="preserve">it provides a more substantial test. We use the convention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ℓ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Δ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M</m:t>
          </m:r>
          <m:r>
            <m:t>r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ℓ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define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ℓ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,</m:t>
          </m:r>
          <m:r>
            <m:t>  </m:t>
          </m:r>
          <m:r>
            <m:t>η</m:t>
          </m:r>
          <m:r>
            <m:rPr>
              <m:sty m:val="p"/>
            </m:rPr>
            <m:t>=</m:t>
          </m:r>
          <m:r>
            <m:t>d</m:t>
          </m:r>
          <m:r>
            <m:t>t</m:t>
          </m:r>
          <m:r>
            <m:rPr>
              <m:sty m:val="p"/>
            </m:rPr>
            <m:t>+</m:t>
          </m:r>
          <m:r>
            <m:t>q</m:t>
          </m:r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t>d</m:t>
          </m:r>
          <m:r>
            <m:t>ϕ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usual metric in this convention 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F</m:t>
          </m:r>
          <m:sSup>
            <m:e>
              <m:r>
                <m:t>η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d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F</m:t>
              </m:r>
            </m:den>
          </m:f>
          <m:r>
            <m:rPr>
              <m:sty m:val="p"/>
            </m:rPr>
            <m:t>+</m:t>
          </m:r>
          <m:r>
            <m:t>Σ</m:t>
          </m:r>
          <m:d>
            <m:dPr>
              <m:begChr m:val="("/>
              <m:endChr m:val=")"/>
              <m:sepChr m:val=""/>
              <m:grow/>
            </m:dPr>
            <m:e>
              <m:r>
                <m:t>d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t> </m:t>
              </m:r>
              <m:r>
                <m:t>d</m:t>
              </m:r>
              <m:sSup>
                <m:e>
                  <m:r>
                    <m:t>ϕ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Changing the convention from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ℓ</m:t>
        </m:r>
        <m:r>
          <m:rPr>
            <m:sty m:val="p"/>
          </m:rPr>
          <m:t>cos</m:t>
        </m:r>
        <m:r>
          <m:t>θ</m:t>
        </m:r>
        <m:r>
          <m:t> </m:t>
        </m:r>
        <m:r>
          <m:t>d</m:t>
        </m:r>
        <m:r>
          <m:t>ϕ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ℓ</m:t>
        </m:r>
        <m:r>
          <m:rPr>
            <m:sty m:val="p"/>
          </m:rPr>
          <m:t>cos</m:t>
        </m:r>
        <m:r>
          <m:t>θ</m:t>
        </m:r>
        <m:r>
          <m:t> </m:t>
        </m:r>
        <m:r>
          <m:t>d</m:t>
        </m:r>
        <m:r>
          <m:t>ϕ</m:t>
        </m:r>
      </m:oMath>
      <w:r>
        <w:t xml:space="preserve"> </w:t>
      </w:r>
      <w:r>
        <w:t xml:space="preserve">is equivalent to changing the sign of</w:t>
      </w:r>
      <w:r>
        <w:t xml:space="preserve"> </w:t>
      </w:r>
      <m:oMath>
        <m:r>
          <m:rPr>
            <m:sty m:val="p"/>
          </m:rPr>
          <m:t>ℓ</m:t>
        </m:r>
      </m:oMath>
      <w:r>
        <w:t xml:space="preserve"> </w:t>
      </w:r>
      <w:r>
        <w:t xml:space="preserve">in the formulas below.</w:t>
      </w:r>
    </w:p>
    <w:bookmarkStart w:id="23" w:name="Xd6105cbe89adda3dfaf2dfb7054a77d19ed8ed9"/>
    <w:p>
      <w:pPr>
        <w:pStyle w:val="Heading3"/>
      </w:pPr>
      <w:r>
        <w:t xml:space="preserve">Reading the structure from the connection</w:t>
      </w:r>
    </w:p>
    <w:p>
      <w:pPr>
        <w:pStyle w:val="FirstParagraph"/>
      </w:pPr>
      <w:r>
        <w:t xml:space="preserve">Some connection coefficients that are sufficient for the reconstruction</w:t>
      </w:r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p>
                  <m:e>
                    <m:r>
                      <m:t>Γ</m:t>
                    </m:r>
                  </m:e>
                  <m:sup>
                    <m:r>
                      <m:t>t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t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  <m:r>
                      <m:t>F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ϕ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t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t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</m:mr>
            <m:mr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r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  <m:r>
                      <m:t>F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θ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θ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sSup>
                  <m:e>
                    <m:r>
                      <m:t>Γ</m:t>
                    </m:r>
                  </m:e>
                  <m:sup>
                    <m:r>
                      <m:t>ϕ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ϕ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r</m:t>
                    </m:r>
                  </m:num>
                  <m:den>
                    <m:r>
                      <m:t>Σ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θ</m:t>
                    </m:r>
                    <m:r>
                      <m:t>θ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r</m:t>
                </m:r>
                <m:r>
                  <m:t>F</m:t>
                </m:r>
                <m:r>
                  <m:rPr>
                    <m:sty m:val="p"/>
                  </m:rPr>
                  <m:t>,</m:t>
                </m:r>
              </m:e>
            </m:mr>
            <m:mr>
              <m:e>
                <m:sSup>
                  <m:e>
                    <m:r>
                      <m:t>Γ</m:t>
                    </m:r>
                  </m:e>
                  <m:sup>
                    <m:r>
                      <m:t>t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q</m:t>
                    </m:r>
                  </m:num>
                  <m:den>
                    <m:r>
                      <m:t>2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rPr>
                            <m:sty m:val="p"/>
                          </m:rPr>
                          <m:t>′</m:t>
                        </m:r>
                      </m:num>
                      <m:den>
                        <m:r>
                          <m:t>F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r</m:t>
                        </m:r>
                      </m:num>
                      <m:den>
                        <m:r>
                          <m:t>Σ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q</m:t>
                    </m:r>
                    <m:r>
                      <m:t>F</m:t>
                    </m:r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pStyle w:val="FirstParagraph"/>
      </w:pPr>
      <w:r>
        <w:t xml:space="preserve">As usual, coefficients related by symmetry of the two lower indices are</w:t>
      </w:r>
      <w:r>
        <w:t xml:space="preserve"> </w:t>
      </w:r>
      <w:r>
        <w:t xml:space="preserve">understood. The characteristic Taub-NUT twist can be read directly from</w:t>
      </w:r>
      <w:r>
        <w:t xml:space="preserve"> </w:t>
      </w:r>
      <w:r>
        <w:t xml:space="preserve">the connection: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ϕ</m:t>
                  </m:r>
                </m:sub>
              </m:sSub>
            </m:num>
            <m:den>
              <m:sSup>
                <m:e>
                  <m: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q</m:t>
          </m:r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ℓ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denominator is nonzero. Similarly,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r</m:t>
              </m:r>
            </m:den>
          </m:f>
          <m:sSup>
            <m:e>
              <m: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θ</m:t>
              </m:r>
              <m:r>
                <m:t>θ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sSup>
                <m:e>
                  <m:r>
                    <m:t>Γ</m:t>
                  </m:r>
                </m:e>
                <m:sup>
                  <m:r>
                    <m:t>θ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θ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 the radial functions and the twisted one-form are encoded in the</w:t>
      </w:r>
      <w:r>
        <w:t xml:space="preserve"> </w:t>
      </w:r>
      <w:r>
        <w:t xml:space="preserve">connection rather than being additional metric data.</w:t>
      </w:r>
    </w:p>
    <w:bookmarkEnd w:id="23"/>
    <w:bookmarkStart w:id="24" w:name="solving-the-compatibility-equations"/>
    <w:p>
      <w:pPr>
        <w:pStyle w:val="Heading3"/>
      </w:pPr>
      <w:r>
        <w:t xml:space="preserve">Solving the compatibility equations</w:t>
      </w:r>
    </w:p>
    <w:p>
      <w:pPr>
        <w:pStyle w:val="FirstParagraph"/>
      </w:pPr>
      <w:r>
        <w:t xml:space="preserve">Guided by these symmetries, take the ansatz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A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sSup>
            <m:e>
              <m:r>
                <m:t>η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t>d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C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d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t> </m:t>
              </m:r>
              <m:r>
                <m:t>d</m:t>
              </m:r>
              <m:sSup>
                <m:e>
                  <m:r>
                    <m:t>ϕ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the coordinate basis its nonzero components are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g</m:t>
                    </m:r>
                  </m:e>
                  <m:sub>
                    <m:r>
                      <m:t>t</m:t>
                    </m:r>
                    <m:r>
                      <m:t>t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</m:e>
              <m:e>
                <m:sSub>
                  <m:e>
                    <m:r>
                      <m:t>g</m:t>
                    </m:r>
                  </m:e>
                  <m:sub>
                    <m:r>
                      <m:t>t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t>q</m:t>
                </m:r>
                <m:r>
                  <m:rPr>
                    <m:sty m:val="p"/>
                  </m:rPr>
                  <m:t>,</m:t>
                </m:r>
              </m:e>
              <m:e>
                <m:sSub>
                  <m:e>
                    <m:r>
                      <m:t>g</m:t>
                    </m:r>
                  </m:e>
                  <m:sub>
                    <m:r>
                      <m:t>r</m:t>
                    </m:r>
                    <m:r>
                      <m:t>r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t>B</m:t>
                </m:r>
                <m:r>
                  <m:rPr>
                    <m:sty m:val="p"/>
                  </m:rPr>
                  <m:t>,</m:t>
                </m:r>
              </m:e>
            </m:mr>
            <m:mr>
              <m:e>
                <m:sSub>
                  <m:e>
                    <m:r>
                      <m:t>g</m:t>
                    </m:r>
                  </m:e>
                  <m:sub>
                    <m:r>
                      <m:t>θ</m:t>
                    </m:r>
                    <m:r>
                      <m:t>θ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t>C</m:t>
                </m:r>
                <m:r>
                  <m:rPr>
                    <m:sty m:val="p"/>
                  </m:rPr>
                  <m:t>,</m:t>
                </m:r>
              </m:e>
              <m:e>
                <m:sSub>
                  <m:e>
                    <m:r>
                      <m:t>g</m:t>
                    </m:r>
                  </m:e>
                  <m:sub>
                    <m:r>
                      <m:t>ϕ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t>C</m:t>
                </m:r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2</m:t>
                    </m:r>
                  </m:sup>
                </m:sSup>
                <m:r>
                  <m:t>θ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  <m:sSup>
                  <m:e>
                    <m:r>
                      <m:t>q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</m:e>
        </m:d>
      </m:oMath>
      <w:r>
        <w:t xml:space="preserve">,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r</m:t>
            </m:r>
            <m:r>
              <m:rPr>
                <m:sty m:val="p"/>
              </m:rPr>
              <m:t>,</m:t>
            </m:r>
            <m:r>
              <m:t>r</m:t>
            </m:r>
          </m:e>
        </m:d>
      </m:oMath>
      <w:r>
        <w:t xml:space="preserve">, and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θ</m:t>
            </m:r>
            <m:r>
              <m:rPr>
                <m:sty m:val="p"/>
              </m:rPr>
              <m:t>,</m:t>
            </m:r>
            <m:r>
              <m:t>θ</m:t>
            </m:r>
          </m:e>
        </m:d>
      </m:oMath>
      <w:r>
        <w:t xml:space="preserve"> </w:t>
      </w:r>
      <w:r>
        <w:t xml:space="preserve">components of</w:t>
      </w:r>
      <w:r>
        <w:t xml:space="preserve"> </w:t>
      </w:r>
      <m:oMath>
        <m:r>
          <m:rPr>
            <m:sty m:val="p"/>
          </m:rPr>
          <m:t>∇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′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t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′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B</m:t>
              </m:r>
              <m:r>
                <m:rPr>
                  <m:sty m:val="p"/>
                </m:rPr>
                <m:t>′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′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′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θ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r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After integration,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t>F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t>Σ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are initially independent constants. As in the Schwarzschild</w:t>
      </w:r>
      <w:r>
        <w:t xml:space="preserve"> </w:t>
      </w:r>
      <w:r>
        <w:t xml:space="preserve">example, equations for components that vanish in the ansatz relate these</w:t>
      </w:r>
      <w:r>
        <w:t xml:space="preserve"> </w:t>
      </w:r>
      <w:r>
        <w:t xml:space="preserve">constants. First,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0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rPr>
                        <m:sty m:val="p"/>
                      </m:rPr>
                      <m:t>∇</m:t>
                    </m:r>
                  </m:e>
                  <m:sub>
                    <m:r>
                      <m:t>t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t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r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−</m:t>
                </m:r>
                <m:sSup>
                  <m:e>
                    <m:r>
                      <m:t>Γ</m:t>
                    </m:r>
                  </m:e>
                  <m:sup>
                    <m:r>
                      <m:t>t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t</m:t>
                    </m:r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−</m:t>
                </m:r>
                <m:sSup>
                  <m:e>
                    <m:r>
                      <m:t>Γ</m:t>
                    </m:r>
                  </m:e>
                  <m:sup>
                    <m:r>
                      <m:t>ϕ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t</m:t>
                    </m:r>
                    <m:r>
                      <m:t>ϕ</m:t>
                    </m:r>
                  </m:sub>
                </m:sSub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</m:e>
                </m:d>
                <m:r>
                  <m:rPr>
                    <m:sty m:val="p"/>
                  </m:rPr>
                  <m:t>,</m:t>
                </m:r>
              </m:e>
            </m:mr>
          </m:m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 Next,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0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rPr>
                        <m:sty m:val="p"/>
                      </m:rPr>
                      <m:t>∇</m:t>
                    </m:r>
                  </m:e>
                  <m:sub>
                    <m:r>
                      <m:t>θ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r</m:t>
                    </m:r>
                    <m:r>
                      <m:t>θ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Γ</m:t>
                    </m:r>
                  </m:e>
                  <m:sup>
                    <m:r>
                      <m:t>θ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θ</m:t>
                    </m:r>
                    <m:r>
                      <m:t>r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θ</m:t>
                    </m:r>
                    <m:r>
                      <m:t>θ</m:t>
                    </m:r>
                  </m:sub>
                </m:sSub>
                <m:r>
                  <m:rPr>
                    <m:sty m:val="p"/>
                  </m:rPr>
                  <m:t>−</m:t>
                </m:r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θ</m:t>
                    </m:r>
                    <m:r>
                      <m:t>θ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r</m:t>
                    </m:r>
                    <m:r>
                      <m:t>r</m:t>
                    </m:r>
                  </m:sub>
                </m:sSub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r>
                  <m:t>r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rPr>
                    <m:sty m:val="p"/>
                  </m:rPr>
                  <m:t>,</m:t>
                </m:r>
              </m:e>
            </m:mr>
          </m:m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. Hence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compatibility equations for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ϕ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ϕ</m:t>
            </m:r>
            <m:r>
              <m:t>ϕ</m:t>
            </m:r>
          </m:sub>
        </m:sSub>
      </m:oMath>
      <w:r>
        <w:t xml:space="preserve"> </w:t>
      </w:r>
      <w:r>
        <w:t xml:space="preserve">are then</w:t>
      </w:r>
      <w:r>
        <w:t xml:space="preserve"> </w:t>
      </w:r>
      <w:r>
        <w:t xml:space="preserve">automatically satisfied. For instance, the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,</m:t>
            </m:r>
            <m:r>
              <m:t>ϕ</m:t>
            </m:r>
          </m:e>
        </m:d>
      </m:oMath>
      <w:r>
        <w:t xml:space="preserve"> </w:t>
      </w:r>
      <w:r>
        <w:t xml:space="preserve">equation uses both</w:t>
      </w:r>
      <w:r>
        <w:t xml:space="preserve"> </w:t>
      </w:r>
      <m:oMath>
        <m:sSup>
          <m:e>
            <m:r>
              <m:t>Γ</m:t>
            </m:r>
          </m:e>
          <m:sup>
            <m:r>
              <m:t>t</m:t>
            </m:r>
          </m:sup>
        </m:sSup>
        <m:sSub>
          <m:e>
            <m:r>
              <m:t>​</m:t>
            </m:r>
          </m:e>
          <m:sub>
            <m:r>
              <m:t>r</m:t>
            </m:r>
            <m:r>
              <m:t>ϕ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Γ</m:t>
            </m:r>
          </m:e>
          <m:sup>
            <m:r>
              <m:t>ϕ</m:t>
            </m:r>
          </m:sup>
        </m:sSup>
        <m:sSub>
          <m:e>
            <m:r>
              <m:t>​</m:t>
            </m:r>
          </m:e>
          <m:sub>
            <m:r>
              <m:t>r</m:t>
            </m:r>
            <m:r>
              <m:t>ϕ</m:t>
            </m:r>
          </m:sub>
        </m:sSub>
      </m:oMath>
      <w:r>
        <w:t xml:space="preserve"> </w:t>
      </w:r>
      <w:r>
        <w:t xml:space="preserve">and returns</w:t>
      </w:r>
      <w: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r</m:t>
            </m:r>
          </m:sub>
        </m:sSub>
        <m:sSub>
          <m:e>
            <m:r>
              <m:t>g</m:t>
            </m:r>
          </m:e>
          <m:sub>
            <m:r>
              <m:t>t</m:t>
            </m:r>
            <m:r>
              <m:t>ϕ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q</m:t>
        </m:r>
        <m:r>
          <m:t>A</m:t>
        </m:r>
        <m:r>
          <m:rPr>
            <m:sty m:val="p"/>
          </m:rPr>
          <m:t>′</m:t>
        </m:r>
      </m:oMath>
      <w:r>
        <w:t xml:space="preserve">, as required.</w:t>
      </w:r>
    </w:p>
    <w:p>
      <w:pPr>
        <w:pStyle w:val="BodyText"/>
      </w:pPr>
      <w:r>
        <w:t xml:space="preserve">The reconstructed metric is therefore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m>
                <m:mPr>
                  <m:baseJc m:val="center"/>
                  <m:plcHide m:val="on"/>
                  <m:mcs>
                    <m:mc>
                      <m:mcPr>
                        <m:mcJc m:val="righ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d</m:t>
                    </m:r>
                    <m:sSup>
                      <m:e>
                        <m:r>
                          <m:t>s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k</m:t>
                    </m:r>
                    <m:r>
                      <m:rPr>
                        <m:sty m:val="p"/>
                      </m:rPr>
                      <m:t>[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r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M</m:t>
                        </m:r>
                        <m:r>
                          <m:t>r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ℓ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sSup>
                          <m:e>
                            <m:r>
                              <m:t>r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ℓ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d</m:t>
                            </m:r>
                            <m:r>
                              <m:t>t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2</m:t>
                            </m:r>
                            <m:r>
                              <m:rPr>
                                <m:sty m:val="p"/>
                              </m:rPr>
                              <m:t>ℓ</m:t>
                            </m:r>
                            <m:r>
                              <m:rPr>
                                <m:sty m:val="p"/>
                              </m:rPr>
                              <m:t>cos</m:t>
                            </m:r>
                            <m:r>
                              <m:t>θ</m:t>
                            </m:r>
                            <m:r>
                              <m:t> </m:t>
                            </m:r>
                            <m:r>
                              <m:t>d</m:t>
                            </m:r>
                            <m:r>
                              <m:t>ϕ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e>
                </m:mr>
                <m:mr>
                  <m:e/>
                  <m:e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r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ℓ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sSup>
                          <m:e>
                            <m:r>
                              <m:t>r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M</m:t>
                        </m:r>
                        <m:r>
                          <m:t>r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ℓ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 </m:t>
                    </m:r>
                    <m:r>
                      <m:t>d</m:t>
                    </m:r>
                    <m:sSup>
                      <m:e>
                        <m:r>
                          <m:t>r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r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ℓ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d</m:t>
                        </m:r>
                        <m:sSup>
                          <m:e>
                            <m:r>
                              <m:t>θ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sin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t>θ</m:t>
                        </m:r>
                        <m:r>
                          <m:t> </m:t>
                        </m:r>
                        <m:r>
                          <m:t>d</m:t>
                        </m:r>
                        <m:sSup>
                          <m:e>
                            <m:r>
                              <m:t>ϕ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borderBox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, this is Lorentzian wherever</w:t>
      </w:r>
      <w:r>
        <w:t xml:space="preserve"> </w:t>
      </w:r>
      <m:oMath>
        <m:r>
          <m:t>F</m:t>
        </m:r>
        <m:r>
          <m:rPr>
            <m:sty m:val="p"/>
          </m:rPr>
          <m:t>≠</m:t>
        </m:r>
        <m:r>
          <m:t>0</m:t>
        </m:r>
      </m:oMath>
      <w:r>
        <w:t xml:space="preserve">; the coordinate vector</w:t>
      </w:r>
      <w: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timelike in a region where</w:t>
      </w:r>
      <w:r>
        <w:t xml:space="preserve"> </w:t>
      </w:r>
      <m:oMath>
        <m:r>
          <m:t>F</m:t>
        </m:r>
        <m:r>
          <m:rPr>
            <m:sty m:val="p"/>
          </m:rPr>
          <m:t>&gt;</m:t>
        </m:r>
        <m:r>
          <m:t>0</m:t>
        </m:r>
      </m:oMath>
      <w:r>
        <w:t xml:space="preserve">. Therefore, on a generic</w:t>
      </w:r>
      <w:r>
        <w:t xml:space="preserve"> </w:t>
      </w:r>
      <w:r>
        <w:t xml:space="preserve">non-flat region, the Taub-NUT connection recovers</w:t>
      </w:r>
      <w:r>
        <w:t xml:space="preserve"> </w:t>
      </w:r>
      <w:r>
        <w:t xml:space="preserve">the starting Taub-NUT metric up to the same unavoidable overall scale as in</w:t>
      </w:r>
      <w:r>
        <w:t xml:space="preserve"> </w:t>
      </w:r>
      <w:r>
        <w:t xml:space="preserve">the Schwarzschild case. Both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the NUT parameter</w:t>
      </w:r>
      <w:r>
        <w:t xml:space="preserve"> </w:t>
      </w:r>
      <m:oMath>
        <m:r>
          <m:rPr>
            <m:sty m:val="p"/>
          </m:rPr>
          <m:t>ℓ</m:t>
        </m:r>
      </m:oMath>
      <w:r>
        <w:t xml:space="preserve"> </w:t>
      </w:r>
      <w:r>
        <w:t xml:space="preserve">occur in the</w:t>
      </w:r>
      <w:r>
        <w:t xml:space="preserve"> </w:t>
      </w:r>
      <w:r>
        <w:t xml:space="preserve">connection.</w:t>
      </w:r>
    </w:p>
    <w:p>
      <w:pPr>
        <w:pStyle w:val="BodyText"/>
      </w:pPr>
      <w:r>
        <w:t xml:space="preserve">The limit</w:t>
      </w:r>
      <w:r>
        <w:t xml:space="preserve"> </w:t>
      </w:r>
      <m:oMath>
        <m:r>
          <m:rPr>
            <m:sty m:val="p"/>
          </m:rPr>
          <m:t>ℓ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→</m:t>
          </m:r>
          <m:r>
            <m:t>d</m:t>
          </m:r>
          <m:r>
            <m:t>t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rPr>
              <m:sty m:val="p"/>
            </m:rPr>
            <m:t>→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→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M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reconstruction reduces continuously to the Schwarzschild result.</w:t>
      </w:r>
      <w:r>
        <w:t xml:space="preserve"> </w:t>
      </w:r>
      <w:r>
        <w:t xml:space="preserve">This also checks that the off-diagonal terms have the correct normalization</w:t>
      </w:r>
      <w:r>
        <w:t xml:space="preserve"> </w:t>
      </w:r>
      <w:r>
        <w:t xml:space="preserve">and sign.</w:t>
      </w:r>
    </w:p>
    <w:p>
      <w:pPr>
        <w:pStyle w:val="BodyText"/>
      </w:pPr>
      <w:r>
        <w:t xml:space="preserve">This calculation is local. Globally, the one-form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requires the usual</w:t>
      </w:r>
      <w:r>
        <w:t xml:space="preserve"> </w:t>
      </w:r>
      <w:r>
        <w:t xml:space="preserve">Taub-NUT patching around the polar axes, and questions involving the Misner</w:t>
      </w:r>
      <w:r>
        <w:t xml:space="preserve"> </w:t>
      </w:r>
      <w:r>
        <w:t xml:space="preserve">string or a periodic time coordinate require global information that cannot</w:t>
      </w:r>
      <w:r>
        <w:t xml:space="preserve"> </w:t>
      </w:r>
      <w:r>
        <w:t xml:space="preserve">be inferred from connection coefficients in a single coordinate chart.</w:t>
      </w:r>
    </w:p>
    <w:bookmarkEnd w:id="24"/>
    <w:bookmarkEnd w:id="25"/>
    <w:bookmarkStart w:id="26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A connection determines a metric exactly when it is torsion-free and its</w:t>
      </w:r>
      <w:r>
        <w:t xml:space="preserve"> </w:t>
      </w:r>
      <w:r>
        <w:t xml:space="preserve">holonomy preserves a non-degenerate symmetric bilinear form of the required</w:t>
      </w:r>
      <w:r>
        <w:t xml:space="preserve"> </w:t>
      </w:r>
      <w:r>
        <w:t xml:space="preserve">signature. Reconstruction means solving</w:t>
      </w:r>
      <w:r>
        <w:t xml:space="preserve"> </w:t>
      </w:r>
      <m:oMath>
        <m:r>
          <m:rPr>
            <m:sty m:val="p"/>
          </m:rPr>
          <m:t>∇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t xml:space="preserve">. For the generic</w:t>
      </w:r>
      <w:r>
        <w:t xml:space="preserve"> </w:t>
      </w:r>
      <w:r>
        <w:t xml:space="preserve">Schwarzschild and Taub-NUT connections, this procedure returns the original</w:t>
      </w:r>
      <w:r>
        <w:t xml:space="preserve"> </w:t>
      </w:r>
      <w:r>
        <w:t xml:space="preserve">metric up to a constant overall scale, which no Levi-Civita connection can</w:t>
      </w:r>
      <w:r>
        <w:t xml:space="preserve"> </w:t>
      </w:r>
      <w:r>
        <w:t xml:space="preserve">determine. The Taub-NUT example additionally shows that off-diagonal metric</w:t>
      </w:r>
      <w:r>
        <w:t xml:space="preserve"> </w:t>
      </w:r>
      <w:r>
        <w:t xml:space="preserve">components can be reconstructed: their twisting function is already</w:t>
      </w:r>
      <w:r>
        <w:t xml:space="preserve"> </w:t>
      </w:r>
      <w:r>
        <w:t xml:space="preserve">encoded in the mixed connection coefficients.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2026-10-20T11:54:30Z</dcterms:created>
  <dcterms:modified xsi:type="dcterms:W3CDTF">2026-10-20T11:54:30Z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