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Calibri" w:hAnsi="Calibri"/>
          <w:b/>
          <w:i w:val="0"/>
          <w:color w:val="2E74B5"/>
          <w:sz w:val="18"/>
        </w:rPr>
        <w:t>RELATÓRIO DE AUDITORIA TÉCNICA</w:t>
      </w:r>
    </w:p>
    <w:p>
      <w:pPr>
        <w:spacing w:before="0" w:after="40"/>
        <w:pBdr>
          <w:bottom w:val="single" w:sz="14" w:space="4" w:color="2E74B5"/>
        </w:pBdr>
      </w:pPr>
      <w:r>
        <w:rPr>
          <w:rFonts w:ascii="Calibri" w:hAnsi="Calibri"/>
          <w:b/>
          <w:i w:val="0"/>
          <w:color w:val="17365D"/>
          <w:sz w:val="42"/>
        </w:rPr>
        <w:t>KÔMA — arquitetura, segurança, desempenho e manutenção</w:t>
      </w:r>
    </w:p>
    <w:p>
      <w:pPr>
        <w:spacing w:after="160"/>
      </w:pPr>
      <w:r>
        <w:rPr>
          <w:rFonts w:ascii="Calibri" w:hAnsi="Calibri"/>
          <w:b w:val="0"/>
          <w:i w:val="0"/>
          <w:color w:val="5B6573"/>
          <w:sz w:val="18"/>
        </w:rPr>
        <w:t>Escopo: Georlan/sistema-gourmet-bistro · branch main · commit bfcee7f · 22/07/2026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CE5"/>
          <w:left w:val="single" w:sz="4" w:color="D6DCE5"/>
          <w:bottom w:val="single" w:sz="4" w:color="D6DCE5"/>
          <w:right w:val="single" w:sz="4" w:color="D6DCE5"/>
          <w:insideH w:val="single" w:sz="4" w:color="D6DCE5"/>
          <w:insideV w:val="single" w:sz="4" w:color="D6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8E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DECISÃO 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Não liberar para múltiplos restaurantes, pagamentos reais ou dados pessoais reais. Um piloto controlado com um único estabelecimento só deve ocorrer depois de todos os P0 abaixo.</w:t>
            </w:r>
          </w:p>
        </w:tc>
      </w:tr>
    </w:tbl>
    <w:p>
      <w:pPr>
        <w:pStyle w:val="Heading1"/>
        <w:keepNext/>
        <w:spacing w:before="160" w:after="100"/>
      </w:pPr>
      <w:r>
        <w:t>Riscos críticos — corrigir antes do piloto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80"/>
        <w:gridCol w:w="760"/>
        <w:gridCol w:w="980"/>
        <w:gridCol w:w="4190"/>
        <w:gridCol w:w="2950"/>
      </w:tblGrid>
      <w:tr>
        <w:trPr>
          <w:cantSplit/>
          <w:tblHeader w:val="true"/>
        </w:trPr>
        <w:tc>
          <w:tcPr>
            <w:tcW w:type="dxa" w:w="48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7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Prior.</w:t>
            </w:r>
          </w:p>
        </w:tc>
        <w:tc>
          <w:tcPr>
            <w:tcW w:type="dxa" w:w="98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Área</w:t>
            </w:r>
          </w:p>
        </w:tc>
        <w:tc>
          <w:tcPr>
            <w:tcW w:type="dxa" w:w="419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Achado / evidência</w:t>
            </w:r>
          </w:p>
        </w:tc>
        <w:tc>
          <w:tcPr>
            <w:tcW w:type="dxa" w:w="29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Impacto</w:t>
            </w:r>
          </w:p>
        </w:tc>
      </w:tr>
      <w:tr>
        <w:tc>
          <w:tcPr>
            <w:tcW w:type="dxa" w:w="4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01</w:t>
            </w:r>
          </w:p>
        </w:tc>
        <w:tc>
          <w:tcPr>
            <w:tcW w:type="dxa" w:w="76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  <w:tc>
          <w:tcPr>
            <w:tcW w:type="dxa" w:w="9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Arquitetura</w:t>
            </w:r>
          </w:p>
        </w:tc>
        <w:tc>
          <w:tcPr>
            <w:tcW w:type="dxa" w:w="419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Chaves de negócio são globais: Categoria/Produto/Mesa usam PK sem restaurante_id; Categoria.nome também é unique global (models.py:84–115). [RESOLVIDO - Migration b1c2 unique(restaurante_id, nome)]</w:t>
            </w:r>
          </w:p>
        </w:tc>
        <w:tc>
          <w:tcPr>
            <w:tcW w:type="dxa" w:w="295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O segundo restaurante não consegue ter “Mesa 1” ou IDs repetidos; FKs podem cruzar tenants.</w:t>
            </w:r>
          </w:p>
        </w:tc>
      </w:tr>
      <w:tr>
        <w:tc>
          <w:tcPr>
            <w:tcW w:type="dxa" w:w="4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02</w:t>
            </w:r>
          </w:p>
        </w:tc>
        <w:tc>
          <w:tcPr>
            <w:tcW w:type="dxa" w:w="76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  <w:tc>
          <w:tcPr>
            <w:tcW w:type="dxa" w:w="9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Segurança</w:t>
            </w:r>
          </w:p>
        </w:tc>
        <w:tc>
          <w:tcPr>
            <w:tcW w:type="dxa" w:w="419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RLS não tem cadeia confiável: role koma_app é NOLOGIN, não há FORCE RLS; sessões públicas/agente recebem tenant 0 e tarefas criam novas sessões sem SET LOCAL (database.py:121–135; migrations 997… e a1…). [RESOLVIDO - RLS tenant isolation &amp; SET LOCAL]</w:t>
            </w:r>
          </w:p>
        </w:tc>
        <w:tc>
          <w:tcPr>
            <w:tcW w:type="dxa" w:w="295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Conforme o usuário do banco, ocorre bloqueio total ou bypass de isolamento, com risco de vazamento entre clientes.</w:t>
            </w:r>
          </w:p>
        </w:tc>
      </w:tr>
      <w:tr>
        <w:tc>
          <w:tcPr>
            <w:tcW w:type="dxa" w:w="4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03</w:t>
            </w:r>
          </w:p>
        </w:tc>
        <w:tc>
          <w:tcPr>
            <w:tcW w:type="dxa" w:w="76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  <w:tc>
          <w:tcPr>
            <w:tcW w:type="dxa" w:w="9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Autorização</w:t>
            </w:r>
          </w:p>
        </w:tc>
        <w:tc>
          <w:tcPr>
            <w:tcW w:type="dxa" w:w="419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Matriz de cargos não é aplicada centralmente. Qualquer usuário autenticado pode fechar com force, reabrir ou alterar status; relatórios e vários CRUDs só exigem login (orders.py:635–770). [RESOLVIDO - Commit a3ddf03]</w:t>
            </w:r>
          </w:p>
        </w:tc>
        <w:tc>
          <w:tcPr>
            <w:tcW w:type="dxa" w:w="295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Fraude operacional, fechamento sem pagamento e exposição de indicadores/equipe.</w:t>
            </w:r>
          </w:p>
        </w:tc>
      </w:tr>
      <w:tr>
        <w:tc>
          <w:tcPr>
            <w:tcW w:type="dxa" w:w="4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04</w:t>
            </w:r>
          </w:p>
        </w:tc>
        <w:tc>
          <w:tcPr>
            <w:tcW w:type="dxa" w:w="76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  <w:tc>
          <w:tcPr>
            <w:tcW w:type="dxa" w:w="9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Credenciais</w:t>
            </w:r>
          </w:p>
        </w:tc>
        <w:tc>
          <w:tcPr>
            <w:tcW w:type="dxa" w:w="419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koma-print-agent/config.json contém token de agente real-formato e está no Git desde múltiplos commits. O valor não foi reproduzido neste relatório. [RESOLVIDO - Commit 897a4dd]</w:t>
            </w:r>
          </w:p>
        </w:tc>
        <w:tc>
          <w:tcPr>
            <w:tcW w:type="dxa" w:w="295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Quem obtiver o repositório pode personificar o caixa e consumir/confirmar jobs de impressão.</w:t>
            </w:r>
          </w:p>
        </w:tc>
      </w:tr>
      <w:tr>
        <w:tc>
          <w:tcPr>
            <w:tcW w:type="dxa" w:w="4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05</w:t>
            </w:r>
          </w:p>
        </w:tc>
        <w:tc>
          <w:tcPr>
            <w:tcW w:type="dxa" w:w="76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  <w:tc>
          <w:tcPr>
            <w:tcW w:type="dxa" w:w="9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Banco</w:t>
            </w:r>
          </w:p>
        </w:tc>
        <w:tc>
          <w:tcPr>
            <w:tcW w:type="dxa" w:w="419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Uma migração limpa em SQLite falha em e8d7… ao adicionar FK sem batch mode; o startup captura a exceção e continua (main.py:195–198). [RESOLVIDO - Migration e8d7 batch_alter_table]</w:t>
            </w:r>
          </w:p>
        </w:tc>
        <w:tc>
          <w:tcPr>
            <w:tcW w:type="dxa" w:w="295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Ambiente sobe com schema incompleto; teste de caixa falha por tabela ausente.</w:t>
            </w:r>
          </w:p>
        </w:tc>
      </w:tr>
      <w:tr>
        <w:tc>
          <w:tcPr>
            <w:tcW w:type="dxa" w:w="4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06</w:t>
            </w:r>
          </w:p>
        </w:tc>
        <w:tc>
          <w:tcPr>
            <w:tcW w:type="dxa" w:w="76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  <w:tc>
          <w:tcPr>
            <w:tcW w:type="dxa" w:w="9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Cardápio</w:t>
            </w:r>
          </w:p>
        </w:tc>
        <w:tc>
          <w:tcPr>
            <w:tcW w:type="dxa" w:w="419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O navegador atualiza cashback diretamente via Supabase anon; OTP usa random de 4 dígitos, é logado e não tem limite de tentativas; chat IA é público (CardapioDigital.tsx:211–225; cardapio.py:239–247). [RESOLVIDO - OTP secrets + rate limit + 5 max attempts + cashback server-side]</w:t>
            </w:r>
          </w:p>
        </w:tc>
        <w:tc>
          <w:tcPr>
            <w:tcW w:type="dxa" w:w="295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Manipulação de saldo, enumeração/PII, abuso de custo e autenticação fraca.</w:t>
            </w:r>
          </w:p>
        </w:tc>
      </w:tr>
      <w:tr>
        <w:tc>
          <w:tcPr>
            <w:tcW w:type="dxa" w:w="4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07</w:t>
            </w:r>
          </w:p>
        </w:tc>
        <w:tc>
          <w:tcPr>
            <w:tcW w:type="dxa" w:w="76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  <w:tc>
          <w:tcPr>
            <w:tcW w:type="dxa" w:w="98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Impressão</w:t>
            </w:r>
          </w:p>
        </w:tc>
        <w:tc>
          <w:tcPr>
            <w:tcW w:type="dxa" w:w="419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r>
              <w:t>Claim é leitura + alteração + commit, sem UPDATE condicional/lock; a autenticação do agente descobre o tenant depois da sessão RLS nascer (print_agents.py:177–205). [RESOLVIDO - UPDATE atômico condicional + stuck recovery]</w:t>
            </w:r>
          </w:p>
        </w:tc>
        <w:tc>
          <w:tcPr>
            <w:tcW w:type="dxa" w:w="2950"/>
            <w:shd w:fill="FFF8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Dois agentes podem imprimir o mesmo ticket; com RLS estrito, nenhum job pode ser lido.</w:t>
            </w:r>
          </w:p>
        </w:tc>
      </w:tr>
    </w:tbl>
    <w:p>
      <w:pPr>
        <w:pStyle w:val="Heading2"/>
        <w:keepNext/>
        <w:spacing w:before="100" w:after="40"/>
      </w:pPr>
      <w:r>
        <w:t>Limites desta auditoria</w:t>
      </w:r>
    </w:p>
    <w:p>
      <w:pPr>
        <w:spacing w:after="0"/>
      </w:pPr>
      <w:r>
        <w:rPr>
          <w:rFonts w:ascii="Calibri" w:hAnsi="Calibri"/>
          <w:b w:val="0"/>
          <w:i/>
          <w:color w:val="5B6573"/>
          <w:sz w:val="16"/>
        </w:rPr>
        <w:t>Revisão estática do commit, build, testes e migração SQLite limpa. Sem acesso ao PostgreSQL/Supabase de produção, Railway/Cloudflare, tráfego ou impressoras físicas; RLS, latência e recuperação exigem validação em staging.</w:t>
      </w:r>
    </w:p>
    <w:p>
      <w:r>
        <w:br w:type="page"/>
      </w:r>
    </w:p>
    <w:p>
      <w:pPr>
        <w:pStyle w:val="Heading1"/>
        <w:keepNext/>
        <w:spacing w:before="0" w:after="100"/>
      </w:pPr>
      <w:r>
        <w:t>Riscos altos e médios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480"/>
        <w:gridCol w:w="760"/>
        <w:gridCol w:w="980"/>
        <w:gridCol w:w="4190"/>
        <w:gridCol w:w="2950"/>
      </w:tblGrid>
      <w:tr>
        <w:trPr>
          <w:cantSplit/>
          <w:tblHeader w:val="true"/>
        </w:trPr>
        <w:tc>
          <w:tcPr>
            <w:tcW w:type="dxa" w:w="48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ID</w:t>
            </w:r>
          </w:p>
        </w:tc>
        <w:tc>
          <w:tcPr>
            <w:tcW w:type="dxa" w:w="76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Prior.</w:t>
            </w:r>
          </w:p>
        </w:tc>
        <w:tc>
          <w:tcPr>
            <w:tcW w:type="dxa" w:w="98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Área</w:t>
            </w:r>
          </w:p>
        </w:tc>
        <w:tc>
          <w:tcPr>
            <w:tcW w:type="dxa" w:w="419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Achado / evidência</w:t>
            </w:r>
          </w:p>
        </w:tc>
        <w:tc>
          <w:tcPr>
            <w:tcW w:type="dxa" w:w="29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Impacto</w:t>
            </w:r>
          </w:p>
        </w:tc>
      </w:tr>
      <w:tr>
        <w:tc>
          <w:tcPr>
            <w:tcW w:type="dxa" w:w="48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08</w:t>
            </w:r>
          </w:p>
        </w:tc>
        <w:tc>
          <w:tcPr>
            <w:tcW w:type="dxa" w:w="76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  <w:tc>
          <w:tcPr>
            <w:tcW w:type="dxa" w:w="98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Financeiro</w:t>
            </w:r>
          </w:p>
        </w:tc>
        <w:tc>
          <w:tcPr>
            <w:tcW w:type="dxa" w:w="419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Preços, pagamentos, caixa, metas e custos usam Float; totais críticos são recalculados em Python (models.py:101, 155, 213, 246–310).</w:t>
            </w:r>
          </w:p>
        </w:tc>
        <w:tc>
          <w:tcPr>
            <w:tcW w:type="dxa" w:w="295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Centavos divergentes, conciliação inconsistente e relatórios diferentes do caixa.</w:t>
            </w:r>
          </w:p>
        </w:tc>
      </w:tr>
      <w:tr>
        <w:tc>
          <w:tcPr>
            <w:tcW w:type="dxa" w:w="48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09</w:t>
            </w:r>
          </w:p>
        </w:tc>
        <w:tc>
          <w:tcPr>
            <w:tcW w:type="dxa" w:w="76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  <w:tc>
          <w:tcPr>
            <w:tcW w:type="dxa" w:w="98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Sessão/API</w:t>
            </w:r>
          </w:p>
        </w:tc>
        <w:tc>
          <w:tcPr>
            <w:tcW w:type="dxa" w:w="419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JWT dura 30 dias e fica no localStorage; CORS reflete qualquer origem com credenciais; erros expõem str(exc); /sentry-debug é público (config.py:20; main.py:200–245, 368–372).</w:t>
            </w:r>
          </w:p>
        </w:tc>
        <w:tc>
          <w:tcPr>
            <w:tcW w:type="dxa" w:w="295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Maior janela para roubo de sessão e divulgação de detalhes internos.</w:t>
            </w:r>
          </w:p>
        </w:tc>
      </w:tr>
      <w:tr>
        <w:tc>
          <w:tcPr>
            <w:tcW w:type="dxa" w:w="48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10</w:t>
            </w:r>
          </w:p>
        </w:tc>
        <w:tc>
          <w:tcPr>
            <w:tcW w:type="dxa" w:w="76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  <w:tc>
          <w:tcPr>
            <w:tcW w:type="dxa" w:w="98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Integridade</w:t>
            </w:r>
          </w:p>
        </w:tc>
        <w:tc>
          <w:tcPr>
            <w:tcW w:type="dxa" w:w="419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Pedido online e várias mutações não usam chave de idempotência de entrada; número mensal é max+1. Proteção existe apenas em partes de pagamentos/print.</w:t>
            </w:r>
          </w:p>
        </w:tc>
        <w:tc>
          <w:tcPr>
            <w:tcW w:type="dxa" w:w="295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Reenvio, timeout ou concorrência pode duplicar pedidos e números.</w:t>
            </w:r>
          </w:p>
        </w:tc>
      </w:tr>
      <w:tr>
        <w:tc>
          <w:tcPr>
            <w:tcW w:type="dxa" w:w="48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11</w:t>
            </w:r>
          </w:p>
        </w:tc>
        <w:tc>
          <w:tcPr>
            <w:tcW w:type="dxa" w:w="76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  <w:tc>
          <w:tcPr>
            <w:tcW w:type="dxa" w:w="98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Escala</w:t>
            </w:r>
          </w:p>
        </w:tc>
        <w:tc>
          <w:tcPr>
            <w:tcW w:type="dxa" w:w="419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OTP e WebSockets vivem só em memória do processo; super-admin mistura mocks com ações reais e mostra integrações verdes estáticas.</w:t>
            </w:r>
          </w:p>
        </w:tc>
        <w:tc>
          <w:tcPr>
            <w:tcW w:type="dxa" w:w="295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Reinício perde estado; múltiplos workers divergem; painel pode indicar saúde inexistente.</w:t>
            </w:r>
          </w:p>
        </w:tc>
      </w:tr>
      <w:tr>
        <w:tc>
          <w:tcPr>
            <w:tcW w:type="dxa" w:w="48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12</w:t>
            </w:r>
          </w:p>
        </w:tc>
        <w:tc>
          <w:tcPr>
            <w:tcW w:type="dxa" w:w="76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  <w:tc>
          <w:tcPr>
            <w:tcW w:type="dxa" w:w="98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Desemp.</w:t>
            </w:r>
          </w:p>
        </w:tc>
        <w:tc>
          <w:tcPr>
            <w:tcW w:type="dxa" w:w="419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Build gera um único JS de 1,55 MB; CaixaPanel tem 8.853 linhas e App 2.030. Relatórios carregam coleções inteiras e fazem agregação/N+1 em Python.</w:t>
            </w:r>
          </w:p>
        </w:tc>
        <w:tc>
          <w:tcPr>
            <w:tcW w:type="dxa" w:w="295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Inicialização lenta em maquininha/celular e degradação conforme pedidos/clientes crescem.</w:t>
            </w:r>
          </w:p>
        </w:tc>
      </w:tr>
      <w:tr>
        <w:tc>
          <w:tcPr>
            <w:tcW w:type="dxa" w:w="48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13</w:t>
            </w:r>
          </w:p>
        </w:tc>
        <w:tc>
          <w:tcPr>
            <w:tcW w:type="dxa" w:w="76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  <w:tc>
          <w:tcPr>
            <w:tcW w:type="dxa" w:w="98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Qualidade</w:t>
            </w:r>
          </w:p>
        </w:tc>
        <w:tc>
          <w:tcPr>
            <w:tcW w:type="dxa" w:w="419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Suíte completa: 123 testes passaram e 3 falharam; testes compartilham banco/estado global. Não há pipeline CI versionado nem teste PostgreSQL/RLS.</w:t>
            </w:r>
          </w:p>
        </w:tc>
        <w:tc>
          <w:tcPr>
            <w:tcW w:type="dxa" w:w="2950"/>
            <w:shd w:fill="FFFCF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Regressões chegam ao main; SQLite verde não prova isolamento real no Supabase.</w:t>
            </w:r>
          </w:p>
        </w:tc>
      </w:tr>
      <w:tr>
        <w:tc>
          <w:tcPr>
            <w:tcW w:type="dxa" w:w="4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14</w:t>
            </w:r>
          </w:p>
        </w:tc>
        <w:tc>
          <w:tcPr>
            <w:tcW w:type="dxa" w:w="7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P2</w:t>
            </w:r>
          </w:p>
        </w:tc>
        <w:tc>
          <w:tcPr>
            <w:tcW w:type="dxa" w:w="9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Manutenção</w:t>
            </w:r>
          </w:p>
        </w:tc>
        <w:tc>
          <w:tcPr>
            <w:tcW w:type="dxa" w:w="419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Há três implementações de impressão (domain/print, domain/printing, printer_service), artefatos .vite e dummy job versionados, README antigo e dependências Python sem lock.</w:t>
            </w:r>
          </w:p>
        </w:tc>
        <w:tc>
          <w:tcPr>
            <w:tcW w:type="dxa" w:w="29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Alterações ficam lentas, comportamento diverge e builds deixam de ser reproduzíveis.</w:t>
            </w:r>
          </w:p>
        </w:tc>
      </w:tr>
    </w:tbl>
    <w:p>
      <w:pPr>
        <w:pStyle w:val="Heading2"/>
        <w:keepNext/>
        <w:spacing w:before="160" w:after="80"/>
      </w:pPr>
      <w:r>
        <w:t>Verificações executadas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2450"/>
        <w:gridCol w:w="1280"/>
        <w:gridCol w:w="5630"/>
      </w:tblGrid>
      <w:tr>
        <w:trPr>
          <w:cantSplit/>
          <w:tblHeader w:val="true"/>
        </w:trPr>
        <w:tc>
          <w:tcPr>
            <w:tcW w:type="dxa" w:w="2450"/>
            <w:shd w:fill="F2F4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Verificação</w:t>
            </w:r>
          </w:p>
        </w:tc>
        <w:tc>
          <w:tcPr>
            <w:tcW w:type="dxa" w:w="1280"/>
            <w:shd w:fill="F2F4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Resultado</w:t>
            </w:r>
          </w:p>
        </w:tc>
        <w:tc>
          <w:tcPr>
            <w:tcW w:type="dxa" w:w="5630"/>
            <w:shd w:fill="F2F4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Leitura</w:t>
            </w:r>
          </w:p>
        </w:tc>
      </w:tr>
      <w:t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B5E20"/>
                <w:sz w:val="15"/>
              </w:rPr>
              <w:t>TypeScript: tsc --noEmit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B5E20"/>
                <w:sz w:val="15"/>
              </w:rPr>
              <w:t>OK</w:t>
            </w:r>
          </w:p>
        </w:tc>
        <w:tc>
          <w:tcPr>
            <w:tcW w:type="dxa" w:w="5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B5E20"/>
                <w:sz w:val="15"/>
              </w:rPr>
              <w:t>Sem erro de tipos.</w:t>
            </w:r>
          </w:p>
        </w:tc>
      </w:tr>
      <w:t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B5E20"/>
                <w:sz w:val="15"/>
              </w:rPr>
              <w:t>Vite: build de produção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B5E20"/>
                <w:sz w:val="15"/>
              </w:rPr>
              <w:t>OK</w:t>
            </w:r>
          </w:p>
        </w:tc>
        <w:tc>
          <w:tcPr>
            <w:tcW w:type="dxa" w:w="5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B5E20"/>
                <w:sz w:val="15"/>
              </w:rPr>
              <w:t>Concluiu; 6 avisos de CSS e chunk JS de 1,55 MB (379 kB gzip).</w:t>
            </w:r>
          </w:p>
        </w:tc>
      </w:tr>
      <w:t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9B1C1C"/>
                <w:sz w:val="15"/>
              </w:rPr>
              <w:t>Testes backend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FALHOU</w:t>
            </w:r>
          </w:p>
        </w:tc>
        <w:tc>
          <w:tcPr>
            <w:tcW w:type="dxa" w:w="5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9B1C1C"/>
                <w:sz w:val="15"/>
              </w:rPr>
              <w:t>123 passaram; 3 falharam. Um é interferência/schema de caixa e dois cobrem upload de assets.</w:t>
            </w:r>
          </w:p>
        </w:tc>
      </w:tr>
      <w:t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9B1C1C"/>
                <w:sz w:val="15"/>
              </w:rPr>
              <w:t>Alembic em SQLite limpo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FALHOU</w:t>
            </w:r>
          </w:p>
        </w:tc>
        <w:tc>
          <w:tcPr>
            <w:tcW w:type="dxa" w:w="5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9B1C1C"/>
                <w:sz w:val="15"/>
              </w:rPr>
              <w:t>Único head, mas upgrade interrompe em e8d7… por ALTER/FK incompatível.</w:t>
            </w:r>
          </w:p>
        </w:tc>
      </w:tr>
      <w:tr>
        <w:tc>
          <w:tcPr>
            <w:tcW w:type="dxa" w:w="24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B5E20"/>
                <w:sz w:val="15"/>
              </w:rPr>
              <w:t>npm audit / pip-audit</w:t>
            </w:r>
          </w:p>
        </w:tc>
        <w:tc>
          <w:tcPr>
            <w:tcW w:type="dxa" w:w="12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B5E20"/>
                <w:sz w:val="15"/>
              </w:rPr>
              <w:t>OK</w:t>
            </w:r>
          </w:p>
        </w:tc>
        <w:tc>
          <w:tcPr>
            <w:tcW w:type="dxa" w:w="5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B5E20"/>
                <w:sz w:val="15"/>
              </w:rPr>
              <w:t>Nenhuma vulnerabilidade conhecida nas resoluções testadas em 22/07/2026.</w:t>
            </w:r>
          </w:p>
        </w:tc>
      </w:tr>
    </w:tbl>
    <w:p>
      <w:pPr>
        <w:pStyle w:val="Heading2"/>
        <w:keepNext/>
        <w:spacing w:before="140" w:after="60"/>
      </w:pPr>
      <w:r>
        <w:t>Pontos positivos já existentes</w:t>
      </w:r>
    </w:p>
    <w:p>
      <w:pPr>
        <w:spacing w:after="0"/>
      </w:pPr>
      <w:r>
        <w:rPr>
          <w:rFonts w:ascii="Calibri" w:hAnsi="Calibri"/>
          <w:b w:val="0"/>
          <w:i w:val="0"/>
          <w:color w:val="111827"/>
          <w:sz w:val="18"/>
        </w:rPr>
        <w:t>Segredos obrigatórios no backend; bcrypt; Fernet para PII; tentativas de RLS e idempotência; validação por magic bytes no upload; Sentry com PII desativado por padrão; boa base de 126 testes.</w:t>
      </w:r>
    </w:p>
    <w:p>
      <w:r>
        <w:br w:type="page"/>
      </w:r>
    </w:p>
    <w:p>
      <w:pPr>
        <w:pStyle w:val="Heading1"/>
        <w:keepNext/>
        <w:spacing w:before="0" w:after="100"/>
      </w:pPr>
      <w:r>
        <w:t>Plano de ação objetivo — 14 dias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6DCE5"/>
          <w:left w:val="single" w:sz="4" w:color="D6DCE5"/>
          <w:bottom w:val="single" w:sz="4" w:color="D6DCE5"/>
          <w:right w:val="single" w:sz="4" w:color="D6DCE5"/>
          <w:insideH w:val="single" w:sz="4" w:color="D6DCE5"/>
          <w:insideV w:val="single" w:sz="4" w:color="D6DCE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AF4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B5E20"/>
                <w:sz w:val="20"/>
              </w:rPr>
              <w:t xml:space="preserve">ORDEM  </w:t>
            </w: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Segurança e integridade primeiro; arquitetura multi-tenant depois; desempenho e limpeza por último. Não tente corrigir o CaixaPanel inteiro antes de estabilizar banco, autorização e impressão.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050"/>
        <w:gridCol w:w="2630"/>
        <w:gridCol w:w="3540"/>
        <w:gridCol w:w="2140"/>
      </w:tblGrid>
      <w:tr>
        <w:trPr>
          <w:cantSplit/>
          <w:tblHeader w:val="true"/>
        </w:trPr>
        <w:tc>
          <w:tcPr>
            <w:tcW w:type="dxa" w:w="105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Janela</w:t>
            </w:r>
          </w:p>
        </w:tc>
        <w:tc>
          <w:tcPr>
            <w:tcW w:type="dxa" w:w="263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Objetivo</w:t>
            </w:r>
          </w:p>
        </w:tc>
        <w:tc>
          <w:tcPr>
            <w:tcW w:type="dxa" w:w="354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Ações objetivas</w:t>
            </w:r>
          </w:p>
        </w:tc>
        <w:tc>
          <w:tcPr>
            <w:tcW w:type="dxa" w:w="2140"/>
            <w:shd w:fill="E8EEF5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Critério de saída</w:t>
            </w:r>
          </w:p>
        </w:tc>
      </w:tr>
      <w:tr>
        <w:tc>
          <w:tcPr>
            <w:tcW w:type="dxa" w:w="1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Hoje</w:t>
            </w:r>
          </w:p>
        </w:tc>
        <w:tc>
          <w:tcPr>
            <w:tcW w:type="dxa" w:w="2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Conter exposição</w:t>
            </w:r>
          </w:p>
        </w:tc>
        <w:tc>
          <w:tcPr>
            <w:tcW w:type="dxa" w:w="35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Revogar/rotacionar token do agente; remover config.json do Git e do histórico; bloquear /sentry-debug; restringir CORS; parar logs de OTP e respostas com str(exc).</w:t>
            </w:r>
          </w:p>
        </w:tc>
        <w:tc>
          <w:tcPr>
            <w:tcW w:type="dxa" w:w="21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Novo token só fora do repo; secret scan limpo; endpoints de debug indisponíveis em produção.</w:t>
            </w:r>
          </w:p>
        </w:tc>
      </w:tr>
      <w:tr>
        <w:tc>
          <w:tcPr>
            <w:tcW w:type="dxa" w:w="1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Dia 1–2</w:t>
            </w:r>
          </w:p>
        </w:tc>
        <w:tc>
          <w:tcPr>
            <w:tcW w:type="dxa" w:w="2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Fechar autorização</w:t>
            </w:r>
          </w:p>
        </w:tc>
        <w:tc>
          <w:tcPr>
            <w:tcW w:type="dxa" w:w="35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Criar dependências require_role/require_permission; remover force do endpoint comum; restringir caixa, estoque, relatórios, produtos e reabertura; testes negativos por cargo.</w:t>
            </w:r>
          </w:p>
        </w:tc>
        <w:tc>
          <w:tcPr>
            <w:tcW w:type="dxa" w:w="21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Garçom recebe 403 para fechar à força, reabrir, administrar catálogo e ver relatórios.</w:t>
            </w:r>
          </w:p>
        </w:tc>
      </w:tr>
      <w:tr>
        <w:tc>
          <w:tcPr>
            <w:tcW w:type="dxa" w:w="1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Dia 2–3</w:t>
            </w:r>
          </w:p>
        </w:tc>
        <w:tc>
          <w:tcPr>
            <w:tcW w:type="dxa" w:w="2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Consertar migrações</w:t>
            </w:r>
          </w:p>
        </w:tc>
        <w:tc>
          <w:tcPr>
            <w:tcW w:type="dxa" w:w="35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Usar batch_alter_table no SQLite; tornar migração fail-fast; eliminar DDL emergencial do startup; testar upgrade vazio e upgrade de snapshot.</w:t>
            </w:r>
          </w:p>
        </w:tc>
        <w:tc>
          <w:tcPr>
            <w:tcW w:type="dxa" w:w="21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alembic upgrade head passa em SQLite limpo e PostgreSQL de staging; app não inicia com schema inválido.</w:t>
            </w:r>
          </w:p>
        </w:tc>
      </w:tr>
      <w:tr>
        <w:tc>
          <w:tcPr>
            <w:tcW w:type="dxa" w:w="1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Dia 3–5</w:t>
            </w:r>
          </w:p>
        </w:tc>
        <w:tc>
          <w:tcPr>
            <w:tcW w:type="dxa" w:w="2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Isolar tenants</w:t>
            </w:r>
          </w:p>
        </w:tc>
        <w:tc>
          <w:tcPr>
            <w:tcW w:type="dxa" w:w="35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Adotar PK técnica + unique(restaurante_id, número/slug/id_negócio); FKs incluem tenant; usar login DB não-owner, sem BYPASSRLS, FORCE RLS quando apropriado; teste com dois restaurantes e “Mesa 1”.</w:t>
            </w:r>
          </w:p>
        </w:tc>
        <w:tc>
          <w:tcPr>
            <w:tcW w:type="dxa" w:w="21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Mesmo cenário roda em PostgreSQL e prova zero leitura/escrita cruzada, inclusive raw SQL e background jobs.</w:t>
            </w:r>
          </w:p>
        </w:tc>
      </w:tr>
      <w:tr>
        <w:tc>
          <w:tcPr>
            <w:tcW w:type="dxa" w:w="1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Dia 5–6</w:t>
            </w:r>
          </w:p>
        </w:tc>
        <w:tc>
          <w:tcPr>
            <w:tcW w:type="dxa" w:w="2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Garantir impressão</w:t>
            </w:r>
          </w:p>
        </w:tc>
        <w:tc>
          <w:tcPr>
            <w:tcW w:type="dxa" w:w="35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Autenticar agente fora da sessão RLS do tenant; iniciar nova transação já tenantizada; claim com UPDATE … WHERE status='pending' RETURNING ou FOR UPDATE SKIP LOCKED; lease/timeout.</w:t>
            </w:r>
          </w:p>
        </w:tc>
        <w:tc>
          <w:tcPr>
            <w:tcW w:type="dxa" w:w="21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Teste concorrente com dois agentes produz exatamente uma impressão por job e recupera job abandonado.</w:t>
            </w:r>
          </w:p>
        </w:tc>
      </w:tr>
      <w:tr>
        <w:tc>
          <w:tcPr>
            <w:tcW w:type="dxa" w:w="1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Dia 6–8</w:t>
            </w:r>
          </w:p>
        </w:tc>
        <w:tc>
          <w:tcPr>
            <w:tcW w:type="dxa" w:w="2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Blindar cardápio</w:t>
            </w:r>
          </w:p>
        </w:tc>
        <w:tc>
          <w:tcPr>
            <w:tcW w:type="dxa" w:w="35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Mover cashback para transação server-side; OTP criptográfico em Redis com TTL, tentativas e rate limit; validar restaurante/telefone; idempotency-key em pedido; limitar IA.</w:t>
            </w:r>
          </w:p>
        </w:tc>
        <w:tc>
          <w:tcPr>
            <w:tcW w:type="dxa" w:w="21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Repetição da mesma requisição retorna o mesmo pedido; cliente não consegue alterar cashback direto.</w:t>
            </w:r>
          </w:p>
        </w:tc>
      </w:tr>
      <w:tr>
        <w:tc>
          <w:tcPr>
            <w:tcW w:type="dxa" w:w="1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Dia 8–10</w:t>
            </w:r>
          </w:p>
        </w:tc>
        <w:tc>
          <w:tcPr>
            <w:tcW w:type="dxa" w:w="2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Precisão e consultas</w:t>
            </w:r>
          </w:p>
        </w:tc>
        <w:tc>
          <w:tcPr>
            <w:tcW w:type="dxa" w:w="35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Migrar dinheiro para Numeric(12,2) ou centavos inteiros; agregações SQL; paginação; índices compostos por tenant/status/data; medir com EXPLAIN ANALYZE.</w:t>
            </w:r>
          </w:p>
        </w:tc>
        <w:tc>
          <w:tcPr>
            <w:tcW w:type="dxa" w:w="21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Totais batem em testes de centavos; relatórios não carregam todas as linhas e atendem SLO definido.</w:t>
            </w:r>
          </w:p>
        </w:tc>
      </w:tr>
      <w:tr>
        <w:tc>
          <w:tcPr>
            <w:tcW w:type="dxa" w:w="1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Dia 10–12</w:t>
            </w:r>
          </w:p>
        </w:tc>
        <w:tc>
          <w:tcPr>
            <w:tcW w:type="dxa" w:w="2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Reduzir frontend</w:t>
            </w:r>
          </w:p>
        </w:tc>
        <w:tc>
          <w:tcPr>
            <w:tcW w:type="dxa" w:w="35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Separar rotas com lazy import; extrair serviços/hooks do App e CaixaPanel; dividir por módulos Caixa, Equipe, Relatórios e Estoque; remover polling redundante.</w:t>
            </w:r>
          </w:p>
        </w:tc>
        <w:tc>
          <w:tcPr>
            <w:tcW w:type="dxa" w:w="21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Chunk inicial &lt;500 kB minificado e cada módulo tem fronteira/teste claro.</w:t>
            </w:r>
          </w:p>
        </w:tc>
      </w:tr>
      <w:tr>
        <w:tc>
          <w:tcPr>
            <w:tcW w:type="dxa" w:w="10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Dia 12–14</w:t>
            </w:r>
          </w:p>
        </w:tc>
        <w:tc>
          <w:tcPr>
            <w:tcW w:type="dxa" w:w="263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Criar gate de piloto</w:t>
            </w:r>
          </w:p>
        </w:tc>
        <w:tc>
          <w:tcPr>
            <w:tcW w:type="dxa" w:w="35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CI: tsc, build, pytest, migrações SQLite+Postgres, secret scan, npm/pip audit; teste de carga; queda de rede/impressora; backup e restauração.</w:t>
            </w:r>
          </w:p>
        </w:tc>
        <w:tc>
          <w:tcPr>
            <w:tcW w:type="dxa" w:w="214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Todos os gates verdes em commit imutável; checklist de rollback e responsável definidos.</w:t>
            </w:r>
          </w:p>
        </w:tc>
      </w:tr>
    </w:tbl>
    <w:p>
      <w:pPr>
        <w:pStyle w:val="Heading2"/>
        <w:keepNext/>
        <w:spacing w:before="160" w:after="80"/>
      </w:pPr>
      <w:r>
        <w:t>Critérios mínimos para autorizar o piloto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7DE"/>
          <w:left w:val="single" w:sz="4" w:color="D0D7DE"/>
          <w:bottom w:val="single" w:sz="4" w:color="D0D7DE"/>
          <w:right w:val="single" w:sz="4" w:color="D0D7DE"/>
          <w:insideH w:val="single" w:sz="4" w:color="D0D7DE"/>
          <w:insideV w:val="single" w:sz="4" w:color="D0D7DE"/>
        </w:tblBorders>
      </w:tblPr>
      <w:tblGrid>
        <w:gridCol w:w="1700"/>
        <w:gridCol w:w="7660"/>
      </w:tblGrid>
      <w:tr>
        <w:trPr>
          <w:cantSplit/>
        </w:trPr>
        <w:tc>
          <w:tcPr>
            <w:tcW w:type="dxa" w:w="1700"/>
            <w:shd w:fill="F2F4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Dimensão</w:t>
            </w:r>
          </w:p>
        </w:tc>
        <w:tc>
          <w:tcPr>
            <w:tcW w:type="dxa" w:w="7660"/>
            <w:shd w:fill="F2F4F7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Aceite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Segurança</w:t>
            </w:r>
          </w:p>
        </w:tc>
        <w:tc>
          <w:tcPr>
            <w:tcW w:type="dxa" w:w="7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 P0 aberto; token rotacionado; cargos testados; CORS e erros endurecidos.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Dados</w:t>
            </w:r>
          </w:p>
        </w:tc>
        <w:tc>
          <w:tcPr>
            <w:tcW w:type="dxa" w:w="7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Migrações limpas; backup restaurado; isolamento validado em PostgreSQL com dois tenants.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Operação</w:t>
            </w:r>
          </w:p>
        </w:tc>
        <w:tc>
          <w:tcPr>
            <w:tcW w:type="dxa" w:w="7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Pedido e pagamento idempotentes; impressão exatamente uma vez no teste concorrente; contingência documentada.</w:t>
            </w:r>
          </w:p>
        </w:tc>
      </w:tr>
      <w:tr>
        <w:tc>
          <w:tcPr>
            <w:tcW w:type="dxa" w:w="1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Qualidade</w:t>
            </w:r>
          </w:p>
        </w:tc>
        <w:tc>
          <w:tcPr>
            <w:tcW w:type="dxa" w:w="7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CI verde; nenhum teste intermitente; Sentry sem PII; healthcheck não divulga detalhes.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573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B6573"/>
        <w:sz w:val="17"/>
      </w:rPr>
      <w:t>KÔMA  |  Auditoria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Auditoria Técnica — KÔMA</dc:title>
  <dc:subject>Arquitetura, segurança, desempenho, manutenção e plano de ação</dc:subject>
  <dc:creator>ChatGPT Work</dc:creator>
  <cp:keywords>KÔMA, FastAPI, React, Supabase, segurança, arquitetura, auditoria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