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/>
      </w:pPr>
      <w:r>
        <w:rPr>
          <w:rFonts w:ascii="Calibri" w:hAnsi="Calibri"/>
          <w:b/>
          <w:i w:val="0"/>
          <w:color w:val="2E74B5"/>
          <w:sz w:val="18"/>
        </w:rPr>
        <w:t>RELATÓRIO DE AUDITORIA TÉCNICA</w:t>
      </w:r>
    </w:p>
    <w:p>
      <w:pPr>
        <w:spacing w:before="0" w:after="40"/>
        <w:pBdr>
          <w:bottom w:val="single" w:sz="14" w:space="4" w:color="2E74B5"/>
        </w:pBdr>
      </w:pPr>
      <w:r>
        <w:rPr>
          <w:rFonts w:ascii="Calibri" w:hAnsi="Calibri"/>
          <w:b/>
          <w:i w:val="0"/>
          <w:color w:val="17365D"/>
          <w:sz w:val="42"/>
        </w:rPr>
        <w:t>KÔMA — arquitetura, segurança, desempenho e manutenção</w:t>
      </w:r>
    </w:p>
    <w:p>
      <w:pPr>
        <w:spacing w:after="160"/>
      </w:pPr>
      <w:r>
        <w:rPr>
          <w:rFonts w:ascii="Calibri" w:hAnsi="Calibri"/>
          <w:b w:val="0"/>
          <w:i w:val="0"/>
          <w:color w:val="5B6573"/>
          <w:sz w:val="18"/>
        </w:rPr>
        <w:t>Escopo: Georlan/sistema-gourmet-bistro · branch main · commit bfcee7f · 22/07/2026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D6DCE5"/>
          <w:left w:val="single" w:sz="4" w:color="D6DCE5"/>
          <w:bottom w:val="single" w:sz="4" w:color="D6DCE5"/>
          <w:right w:val="single" w:sz="4" w:color="D6DCE5"/>
          <w:insideH w:val="single" w:sz="4" w:color="D6DCE5"/>
          <w:insideV w:val="single" w:sz="4" w:color="D6DCE5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CE8E6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9B1C1C"/>
                <w:sz w:val="20"/>
              </w:rPr>
              <w:t xml:space="preserve">DECISÃO  </w:t>
            </w:r>
            <w:r>
              <w:rPr>
                <w:rFonts w:ascii="Calibri" w:hAnsi="Calibri"/>
                <w:b w:val="0"/>
                <w:i w:val="0"/>
                <w:color w:val="111827"/>
                <w:sz w:val="20"/>
              </w:rPr>
              <w:t>Não liberar para múltiplos restaurantes, pagamentos reais ou dados pessoais reais. Um piloto controlado com um único estabelecimento só deve ocorrer depois de todos os P0 abaixo.</w:t>
            </w:r>
          </w:p>
        </w:tc>
      </w:tr>
    </w:tbl>
    <w:p>
      <w:pPr>
        <w:pStyle w:val="Heading1"/>
        <w:keepNext/>
        <w:spacing w:before="160" w:after="100"/>
      </w:pPr>
      <w:r>
        <w:t>Riscos críticos — corrigir antes do piloto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D0D7DE"/>
          <w:left w:val="single" w:sz="4" w:color="D0D7DE"/>
          <w:bottom w:val="single" w:sz="4" w:color="D0D7DE"/>
          <w:right w:val="single" w:sz="4" w:color="D0D7DE"/>
          <w:insideH w:val="single" w:sz="4" w:color="D0D7DE"/>
          <w:insideV w:val="single" w:sz="4" w:color="D0D7DE"/>
        </w:tblBorders>
      </w:tblPr>
      <w:tblGrid>
        <w:gridCol w:w="480"/>
        <w:gridCol w:w="760"/>
        <w:gridCol w:w="980"/>
        <w:gridCol w:w="4190"/>
        <w:gridCol w:w="2950"/>
      </w:tblGrid>
      <w:tr>
        <w:trPr>
          <w:cantSplit/>
          <w:tblHeader w:val="true"/>
        </w:trPr>
        <w:tc>
          <w:tcPr>
            <w:tcW w:type="dxa" w:w="480"/>
            <w:shd w:fill="E8EEF5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17365D"/>
                <w:sz w:val="16"/>
              </w:rPr>
              <w:t>ID</w:t>
            </w:r>
          </w:p>
        </w:tc>
        <w:tc>
          <w:tcPr>
            <w:tcW w:type="dxa" w:w="760"/>
            <w:shd w:fill="E8EEF5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17365D"/>
                <w:sz w:val="16"/>
              </w:rPr>
              <w:t>Prior.</w:t>
            </w:r>
          </w:p>
        </w:tc>
        <w:tc>
          <w:tcPr>
            <w:tcW w:type="dxa" w:w="980"/>
            <w:shd w:fill="E8EEF5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17365D"/>
                <w:sz w:val="16"/>
              </w:rPr>
              <w:t>Área</w:t>
            </w:r>
          </w:p>
        </w:tc>
        <w:tc>
          <w:tcPr>
            <w:tcW w:type="dxa" w:w="4190"/>
            <w:shd w:fill="E8EEF5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7365D"/>
                <w:sz w:val="16"/>
              </w:rPr>
              <w:t>Achado / evidência</w:t>
            </w:r>
          </w:p>
        </w:tc>
        <w:tc>
          <w:tcPr>
            <w:tcW w:type="dxa" w:w="2950"/>
            <w:shd w:fill="E8EEF5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7365D"/>
                <w:sz w:val="16"/>
              </w:rPr>
              <w:t>Impacto</w:t>
            </w:r>
          </w:p>
        </w:tc>
      </w:tr>
      <w:tr>
        <w:tc>
          <w:tcPr>
            <w:tcW w:type="dxa" w:w="480"/>
            <w:shd w:fill="FFF8F7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111827"/>
                <w:sz w:val="15"/>
              </w:rPr>
              <w:t>01</w:t>
            </w:r>
          </w:p>
        </w:tc>
        <w:tc>
          <w:tcPr>
            <w:tcW w:type="dxa" w:w="760"/>
            <w:shd w:fill="FFF8F7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9B1C1C"/>
                <w:sz w:val="15"/>
              </w:rPr>
              <w:t>P0</w:t>
            </w:r>
          </w:p>
        </w:tc>
        <w:tc>
          <w:tcPr>
            <w:tcW w:type="dxa" w:w="980"/>
            <w:shd w:fill="FFF8F7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11827"/>
                <w:sz w:val="15"/>
              </w:rPr>
              <w:t>Arquitetura</w:t>
            </w:r>
          </w:p>
        </w:tc>
        <w:tc>
          <w:tcPr>
            <w:tcW w:type="dxa" w:w="4190"/>
            <w:shd w:fill="FFF8F7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827"/>
                <w:sz w:val="15"/>
              </w:rPr>
              <w:t>Chaves de negócio são globais: Categoria/Produto/Mesa usam PK sem restaurante_id; Categoria.nome também é unique global (models.py:84–115).</w:t>
            </w:r>
          </w:p>
        </w:tc>
        <w:tc>
          <w:tcPr>
            <w:tcW w:type="dxa" w:w="2950"/>
            <w:shd w:fill="FFF8F7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827"/>
                <w:sz w:val="15"/>
              </w:rPr>
              <w:t>O segundo restaurante não consegue ter “Mesa 1” ou IDs repetidos; FKs podem cruzar tenants.</w:t>
            </w:r>
          </w:p>
        </w:tc>
      </w:tr>
      <w:tr>
        <w:tc>
          <w:tcPr>
            <w:tcW w:type="dxa" w:w="480"/>
            <w:shd w:fill="FFF8F7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111827"/>
                <w:sz w:val="15"/>
              </w:rPr>
              <w:t>02</w:t>
            </w:r>
          </w:p>
        </w:tc>
        <w:tc>
          <w:tcPr>
            <w:tcW w:type="dxa" w:w="760"/>
            <w:shd w:fill="FFF8F7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9B1C1C"/>
                <w:sz w:val="15"/>
              </w:rPr>
              <w:t>P0</w:t>
            </w:r>
          </w:p>
        </w:tc>
        <w:tc>
          <w:tcPr>
            <w:tcW w:type="dxa" w:w="980"/>
            <w:shd w:fill="FFF8F7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11827"/>
                <w:sz w:val="15"/>
              </w:rPr>
              <w:t>Segurança</w:t>
            </w:r>
          </w:p>
        </w:tc>
        <w:tc>
          <w:tcPr>
            <w:tcW w:type="dxa" w:w="4190"/>
            <w:shd w:fill="FFF8F7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827"/>
                <w:sz w:val="15"/>
              </w:rPr>
              <w:t>RLS não tem cadeia confiável: role koma_app é NOLOGIN, não há FORCE RLS; sessões públicas/agente recebem tenant 0 e tarefas criam novas sessões sem SET LOCAL (database.py:121–135; migrations 997… e a1…).</w:t>
            </w:r>
          </w:p>
        </w:tc>
        <w:tc>
          <w:tcPr>
            <w:tcW w:type="dxa" w:w="2950"/>
            <w:shd w:fill="FFF8F7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827"/>
                <w:sz w:val="15"/>
              </w:rPr>
              <w:t>Conforme o usuário do banco, ocorre bloqueio total ou bypass de isolamento, com risco de vazamento entre clientes.</w:t>
            </w:r>
          </w:p>
        </w:tc>
      </w:tr>
      <w:tr>
        <w:tc>
          <w:tcPr>
            <w:tcW w:type="dxa" w:w="480"/>
            <w:shd w:fill="FFF8F7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111827"/>
                <w:sz w:val="15"/>
              </w:rPr>
              <w:t>03</w:t>
            </w:r>
          </w:p>
        </w:tc>
        <w:tc>
          <w:tcPr>
            <w:tcW w:type="dxa" w:w="760"/>
            <w:shd w:fill="FFF8F7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9B1C1C"/>
                <w:sz w:val="15"/>
              </w:rPr>
              <w:t>P0</w:t>
            </w:r>
          </w:p>
        </w:tc>
        <w:tc>
          <w:tcPr>
            <w:tcW w:type="dxa" w:w="980"/>
            <w:shd w:fill="FFF8F7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11827"/>
                <w:sz w:val="15"/>
              </w:rPr>
              <w:t>Autorização</w:t>
            </w:r>
          </w:p>
        </w:tc>
        <w:tc>
          <w:tcPr>
            <w:tcW w:type="dxa" w:w="4190"/>
            <w:shd w:fill="FFF8F7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827"/>
                <w:sz w:val="15"/>
              </w:rPr>
              <w:t>Matriz de cargos não é aplicada centralmente. Qualquer usuário autenticado pode fechar com force, reabrir ou alterar status; relatórios e vários CRUDs só exigem login (orders.py:635–770).</w:t>
            </w:r>
          </w:p>
        </w:tc>
        <w:tc>
          <w:tcPr>
            <w:tcW w:type="dxa" w:w="2950"/>
            <w:shd w:fill="FFF8F7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827"/>
                <w:sz w:val="15"/>
              </w:rPr>
              <w:t>Fraude operacional, fechamento sem pagamento e exposição de indicadores/equipe.</w:t>
            </w:r>
          </w:p>
        </w:tc>
      </w:tr>
      <w:tr>
        <w:tc>
          <w:tcPr>
            <w:tcW w:type="dxa" w:w="480"/>
            <w:shd w:fill="FFF8F7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111827"/>
                <w:sz w:val="15"/>
              </w:rPr>
              <w:t>04</w:t>
            </w:r>
          </w:p>
        </w:tc>
        <w:tc>
          <w:tcPr>
            <w:tcW w:type="dxa" w:w="760"/>
            <w:shd w:fill="FFF8F7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9B1C1C"/>
                <w:sz w:val="15"/>
              </w:rPr>
              <w:t>P0</w:t>
            </w:r>
          </w:p>
        </w:tc>
        <w:tc>
          <w:tcPr>
            <w:tcW w:type="dxa" w:w="980"/>
            <w:shd w:fill="FFF8F7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11827"/>
                <w:sz w:val="15"/>
              </w:rPr>
              <w:t>Credenciais</w:t>
            </w:r>
          </w:p>
        </w:tc>
        <w:tc>
          <w:tcPr>
            <w:tcW w:type="dxa" w:w="4190"/>
            <w:shd w:fill="FFF8F7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827"/>
                <w:sz w:val="15"/>
              </w:rPr>
              <w:t>koma-print-agent/config.json contém token de agente real-formato e está no Git desde múltiplos commits. O valor não foi reproduzido neste relatório.</w:t>
            </w:r>
          </w:p>
        </w:tc>
        <w:tc>
          <w:tcPr>
            <w:tcW w:type="dxa" w:w="2950"/>
            <w:shd w:fill="FFF8F7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827"/>
                <w:sz w:val="15"/>
              </w:rPr>
              <w:t>Quem obtiver o repositório pode personificar o caixa e consumir/confirmar jobs de impressão.</w:t>
            </w:r>
          </w:p>
        </w:tc>
      </w:tr>
      <w:tr>
        <w:tc>
          <w:tcPr>
            <w:tcW w:type="dxa" w:w="480"/>
            <w:shd w:fill="FFF8F7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111827"/>
                <w:sz w:val="15"/>
              </w:rPr>
              <w:t>05</w:t>
            </w:r>
          </w:p>
        </w:tc>
        <w:tc>
          <w:tcPr>
            <w:tcW w:type="dxa" w:w="760"/>
            <w:shd w:fill="FFF8F7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9B1C1C"/>
                <w:sz w:val="15"/>
              </w:rPr>
              <w:t>P0</w:t>
            </w:r>
          </w:p>
        </w:tc>
        <w:tc>
          <w:tcPr>
            <w:tcW w:type="dxa" w:w="980"/>
            <w:shd w:fill="FFF8F7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11827"/>
                <w:sz w:val="15"/>
              </w:rPr>
              <w:t>Banco</w:t>
            </w:r>
          </w:p>
        </w:tc>
        <w:tc>
          <w:tcPr>
            <w:tcW w:type="dxa" w:w="4190"/>
            <w:shd w:fill="FFF8F7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827"/>
                <w:sz w:val="15"/>
              </w:rPr>
              <w:t>Uma migração limpa em SQLite falha em e8d7… ao adicionar FK sem batch mode; o startup captura a exceção e continua (main.py:195–198).</w:t>
            </w:r>
          </w:p>
        </w:tc>
        <w:tc>
          <w:tcPr>
            <w:tcW w:type="dxa" w:w="2950"/>
            <w:shd w:fill="FFF8F7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827"/>
                <w:sz w:val="15"/>
              </w:rPr>
              <w:t>Ambiente sobe com schema incompleto; teste de caixa falha por tabela ausente.</w:t>
            </w:r>
          </w:p>
        </w:tc>
      </w:tr>
      <w:tr>
        <w:tc>
          <w:tcPr>
            <w:tcW w:type="dxa" w:w="480"/>
            <w:shd w:fill="FFF8F7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111827"/>
                <w:sz w:val="15"/>
              </w:rPr>
              <w:t>06</w:t>
            </w:r>
          </w:p>
        </w:tc>
        <w:tc>
          <w:tcPr>
            <w:tcW w:type="dxa" w:w="760"/>
            <w:shd w:fill="FFF8F7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9B1C1C"/>
                <w:sz w:val="15"/>
              </w:rPr>
              <w:t>P0</w:t>
            </w:r>
          </w:p>
        </w:tc>
        <w:tc>
          <w:tcPr>
            <w:tcW w:type="dxa" w:w="980"/>
            <w:shd w:fill="FFF8F7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11827"/>
                <w:sz w:val="15"/>
              </w:rPr>
              <w:t>Cardápio</w:t>
            </w:r>
          </w:p>
        </w:tc>
        <w:tc>
          <w:tcPr>
            <w:tcW w:type="dxa" w:w="4190"/>
            <w:shd w:fill="FFF8F7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827"/>
                <w:sz w:val="15"/>
              </w:rPr>
              <w:t>O navegador atualiza cashback diretamente via Supabase anon; OTP usa random de 4 dígitos, é logado e não tem limite de tentativas; chat IA é público (CardapioDigital.tsx:211–225; cardapio.py:239–247).</w:t>
            </w:r>
          </w:p>
        </w:tc>
        <w:tc>
          <w:tcPr>
            <w:tcW w:type="dxa" w:w="2950"/>
            <w:shd w:fill="FFF8F7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827"/>
                <w:sz w:val="15"/>
              </w:rPr>
              <w:t>Manipulação de saldo, enumeração/PII, abuso de custo e autenticação fraca.</w:t>
            </w:r>
          </w:p>
        </w:tc>
      </w:tr>
      <w:tr>
        <w:tc>
          <w:tcPr>
            <w:tcW w:type="dxa" w:w="480"/>
            <w:shd w:fill="FFF8F7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111827"/>
                <w:sz w:val="15"/>
              </w:rPr>
              <w:t>07</w:t>
            </w:r>
          </w:p>
        </w:tc>
        <w:tc>
          <w:tcPr>
            <w:tcW w:type="dxa" w:w="760"/>
            <w:shd w:fill="FFF8F7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9B1C1C"/>
                <w:sz w:val="15"/>
              </w:rPr>
              <w:t>P0</w:t>
            </w:r>
          </w:p>
        </w:tc>
        <w:tc>
          <w:tcPr>
            <w:tcW w:type="dxa" w:w="980"/>
            <w:shd w:fill="FFF8F7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11827"/>
                <w:sz w:val="15"/>
              </w:rPr>
              <w:t>Impressão</w:t>
            </w:r>
          </w:p>
        </w:tc>
        <w:tc>
          <w:tcPr>
            <w:tcW w:type="dxa" w:w="4190"/>
            <w:shd w:fill="FFF8F7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827"/>
                <w:sz w:val="15"/>
              </w:rPr>
              <w:t>Claim é leitura + alteração + commit, sem UPDATE condicional/lock; a autenticação do agente descobre o tenant depois da sessão RLS nascer (print_agents.py:177–205).</w:t>
            </w:r>
          </w:p>
        </w:tc>
        <w:tc>
          <w:tcPr>
            <w:tcW w:type="dxa" w:w="2950"/>
            <w:shd w:fill="FFF8F7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827"/>
                <w:sz w:val="15"/>
              </w:rPr>
              <w:t>Dois agentes podem imprimir o mesmo ticket; com RLS estrito, nenhum job pode ser lido.</w:t>
            </w:r>
          </w:p>
        </w:tc>
      </w:tr>
    </w:tbl>
    <w:p>
      <w:pPr>
        <w:pStyle w:val="Heading2"/>
        <w:keepNext/>
        <w:spacing w:before="100" w:after="40"/>
      </w:pPr>
      <w:r>
        <w:t>Limites desta auditoria</w:t>
      </w:r>
    </w:p>
    <w:p>
      <w:pPr>
        <w:spacing w:after="0"/>
      </w:pPr>
      <w:r>
        <w:rPr>
          <w:rFonts w:ascii="Calibri" w:hAnsi="Calibri"/>
          <w:b w:val="0"/>
          <w:i/>
          <w:color w:val="5B6573"/>
          <w:sz w:val="16"/>
        </w:rPr>
        <w:t>Revisão estática do commit, build, testes e migração SQLite limpa. Sem acesso ao PostgreSQL/Supabase de produção, Railway/Cloudflare, tráfego ou impressoras físicas; RLS, latência e recuperação exigem validação em staging.</w:t>
      </w:r>
    </w:p>
    <w:p>
      <w:r>
        <w:br w:type="page"/>
      </w:r>
    </w:p>
    <w:p>
      <w:pPr>
        <w:pStyle w:val="Heading1"/>
        <w:keepNext/>
        <w:spacing w:before="0" w:after="100"/>
      </w:pPr>
      <w:r>
        <w:t>Riscos altos e médios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D0D7DE"/>
          <w:left w:val="single" w:sz="4" w:color="D0D7DE"/>
          <w:bottom w:val="single" w:sz="4" w:color="D0D7DE"/>
          <w:right w:val="single" w:sz="4" w:color="D0D7DE"/>
          <w:insideH w:val="single" w:sz="4" w:color="D0D7DE"/>
          <w:insideV w:val="single" w:sz="4" w:color="D0D7DE"/>
        </w:tblBorders>
      </w:tblPr>
      <w:tblGrid>
        <w:gridCol w:w="480"/>
        <w:gridCol w:w="760"/>
        <w:gridCol w:w="980"/>
        <w:gridCol w:w="4190"/>
        <w:gridCol w:w="2950"/>
      </w:tblGrid>
      <w:tr>
        <w:trPr>
          <w:cantSplit/>
          <w:tblHeader w:val="true"/>
        </w:trPr>
        <w:tc>
          <w:tcPr>
            <w:tcW w:type="dxa" w:w="480"/>
            <w:shd w:fill="E8EEF5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17365D"/>
                <w:sz w:val="16"/>
              </w:rPr>
              <w:t>ID</w:t>
            </w:r>
          </w:p>
        </w:tc>
        <w:tc>
          <w:tcPr>
            <w:tcW w:type="dxa" w:w="760"/>
            <w:shd w:fill="E8EEF5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17365D"/>
                <w:sz w:val="16"/>
              </w:rPr>
              <w:t>Prior.</w:t>
            </w:r>
          </w:p>
        </w:tc>
        <w:tc>
          <w:tcPr>
            <w:tcW w:type="dxa" w:w="980"/>
            <w:shd w:fill="E8EEF5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17365D"/>
                <w:sz w:val="16"/>
              </w:rPr>
              <w:t>Área</w:t>
            </w:r>
          </w:p>
        </w:tc>
        <w:tc>
          <w:tcPr>
            <w:tcW w:type="dxa" w:w="4190"/>
            <w:shd w:fill="E8EEF5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7365D"/>
                <w:sz w:val="16"/>
              </w:rPr>
              <w:t>Achado / evidência</w:t>
            </w:r>
          </w:p>
        </w:tc>
        <w:tc>
          <w:tcPr>
            <w:tcW w:type="dxa" w:w="2950"/>
            <w:shd w:fill="E8EEF5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7365D"/>
                <w:sz w:val="16"/>
              </w:rPr>
              <w:t>Impacto</w:t>
            </w:r>
          </w:p>
        </w:tc>
      </w:tr>
      <w:tr>
        <w:tc>
          <w:tcPr>
            <w:tcW w:type="dxa" w:w="480"/>
            <w:shd w:fill="FFFCF2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111827"/>
                <w:sz w:val="15"/>
              </w:rPr>
              <w:t>08</w:t>
            </w:r>
          </w:p>
        </w:tc>
        <w:tc>
          <w:tcPr>
            <w:tcW w:type="dxa" w:w="760"/>
            <w:shd w:fill="FFFCF2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7A5A00"/>
                <w:sz w:val="15"/>
              </w:rPr>
              <w:t>P1</w:t>
            </w:r>
          </w:p>
        </w:tc>
        <w:tc>
          <w:tcPr>
            <w:tcW w:type="dxa" w:w="980"/>
            <w:shd w:fill="FFFCF2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11827"/>
                <w:sz w:val="15"/>
              </w:rPr>
              <w:t>Financeiro</w:t>
            </w:r>
          </w:p>
        </w:tc>
        <w:tc>
          <w:tcPr>
            <w:tcW w:type="dxa" w:w="4190"/>
            <w:shd w:fill="FFFCF2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827"/>
                <w:sz w:val="15"/>
              </w:rPr>
              <w:t>Preços, pagamentos, caixa, metas e custos usam Float; totais críticos são recalculados em Python (models.py:101, 155, 213, 246–310).</w:t>
            </w:r>
          </w:p>
        </w:tc>
        <w:tc>
          <w:tcPr>
            <w:tcW w:type="dxa" w:w="2950"/>
            <w:shd w:fill="FFFCF2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827"/>
                <w:sz w:val="15"/>
              </w:rPr>
              <w:t>Centavos divergentes, conciliação inconsistente e relatórios diferentes do caixa.</w:t>
            </w:r>
          </w:p>
        </w:tc>
      </w:tr>
      <w:tr>
        <w:tc>
          <w:tcPr>
            <w:tcW w:type="dxa" w:w="480"/>
            <w:shd w:fill="FFFCF2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111827"/>
                <w:sz w:val="15"/>
              </w:rPr>
              <w:t>09</w:t>
            </w:r>
          </w:p>
        </w:tc>
        <w:tc>
          <w:tcPr>
            <w:tcW w:type="dxa" w:w="760"/>
            <w:shd w:fill="FFFCF2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7A5A00"/>
                <w:sz w:val="15"/>
              </w:rPr>
              <w:t>P1</w:t>
            </w:r>
          </w:p>
        </w:tc>
        <w:tc>
          <w:tcPr>
            <w:tcW w:type="dxa" w:w="980"/>
            <w:shd w:fill="FFFCF2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11827"/>
                <w:sz w:val="15"/>
              </w:rPr>
              <w:t>Sessão/API</w:t>
            </w:r>
          </w:p>
        </w:tc>
        <w:tc>
          <w:tcPr>
            <w:tcW w:type="dxa" w:w="4190"/>
            <w:shd w:fill="FFFCF2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827"/>
                <w:sz w:val="15"/>
              </w:rPr>
              <w:t>JWT dura 30 dias e fica no localStorage; CORS reflete qualquer origem com credenciais; erros expõem str(exc); /sentry-debug é público (config.py:20; main.py:200–245, 368–372).</w:t>
            </w:r>
          </w:p>
        </w:tc>
        <w:tc>
          <w:tcPr>
            <w:tcW w:type="dxa" w:w="2950"/>
            <w:shd w:fill="FFFCF2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827"/>
                <w:sz w:val="15"/>
              </w:rPr>
              <w:t>Maior janela para roubo de sessão e divulgação de detalhes internos.</w:t>
            </w:r>
          </w:p>
        </w:tc>
      </w:tr>
      <w:tr>
        <w:tc>
          <w:tcPr>
            <w:tcW w:type="dxa" w:w="480"/>
            <w:shd w:fill="FFFCF2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111827"/>
                <w:sz w:val="15"/>
              </w:rPr>
              <w:t>10</w:t>
            </w:r>
          </w:p>
        </w:tc>
        <w:tc>
          <w:tcPr>
            <w:tcW w:type="dxa" w:w="760"/>
            <w:shd w:fill="FFFCF2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7A5A00"/>
                <w:sz w:val="15"/>
              </w:rPr>
              <w:t>P1</w:t>
            </w:r>
          </w:p>
        </w:tc>
        <w:tc>
          <w:tcPr>
            <w:tcW w:type="dxa" w:w="980"/>
            <w:shd w:fill="FFFCF2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11827"/>
                <w:sz w:val="15"/>
              </w:rPr>
              <w:t>Integridade</w:t>
            </w:r>
          </w:p>
        </w:tc>
        <w:tc>
          <w:tcPr>
            <w:tcW w:type="dxa" w:w="4190"/>
            <w:shd w:fill="FFFCF2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827"/>
                <w:sz w:val="15"/>
              </w:rPr>
              <w:t>Pedido online e várias mutações não usam chave de idempotência de entrada; número mensal é max+1. Proteção existe apenas em partes de pagamentos/print.</w:t>
            </w:r>
          </w:p>
        </w:tc>
        <w:tc>
          <w:tcPr>
            <w:tcW w:type="dxa" w:w="2950"/>
            <w:shd w:fill="FFFCF2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827"/>
                <w:sz w:val="15"/>
              </w:rPr>
              <w:t>Reenvio, timeout ou concorrência pode duplicar pedidos e números.</w:t>
            </w:r>
          </w:p>
        </w:tc>
      </w:tr>
      <w:tr>
        <w:tc>
          <w:tcPr>
            <w:tcW w:type="dxa" w:w="480"/>
            <w:shd w:fill="FFFCF2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111827"/>
                <w:sz w:val="15"/>
              </w:rPr>
              <w:t>11</w:t>
            </w:r>
          </w:p>
        </w:tc>
        <w:tc>
          <w:tcPr>
            <w:tcW w:type="dxa" w:w="760"/>
            <w:shd w:fill="FFFCF2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7A5A00"/>
                <w:sz w:val="15"/>
              </w:rPr>
              <w:t>P1</w:t>
            </w:r>
          </w:p>
        </w:tc>
        <w:tc>
          <w:tcPr>
            <w:tcW w:type="dxa" w:w="980"/>
            <w:shd w:fill="FFFCF2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11827"/>
                <w:sz w:val="15"/>
              </w:rPr>
              <w:t>Escala</w:t>
            </w:r>
          </w:p>
        </w:tc>
        <w:tc>
          <w:tcPr>
            <w:tcW w:type="dxa" w:w="4190"/>
            <w:shd w:fill="FFFCF2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827"/>
                <w:sz w:val="15"/>
              </w:rPr>
              <w:t>OTP e WebSockets vivem só em memória do processo; super-admin mistura mocks com ações reais e mostra integrações verdes estáticas.</w:t>
            </w:r>
          </w:p>
        </w:tc>
        <w:tc>
          <w:tcPr>
            <w:tcW w:type="dxa" w:w="2950"/>
            <w:shd w:fill="FFFCF2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827"/>
                <w:sz w:val="15"/>
              </w:rPr>
              <w:t>Reinício perde estado; múltiplos workers divergem; painel pode indicar saúde inexistente.</w:t>
            </w:r>
          </w:p>
        </w:tc>
      </w:tr>
      <w:tr>
        <w:tc>
          <w:tcPr>
            <w:tcW w:type="dxa" w:w="480"/>
            <w:shd w:fill="FFFCF2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111827"/>
                <w:sz w:val="15"/>
              </w:rPr>
              <w:t>12</w:t>
            </w:r>
          </w:p>
        </w:tc>
        <w:tc>
          <w:tcPr>
            <w:tcW w:type="dxa" w:w="760"/>
            <w:shd w:fill="FFFCF2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7A5A00"/>
                <w:sz w:val="15"/>
              </w:rPr>
              <w:t>P1</w:t>
            </w:r>
          </w:p>
        </w:tc>
        <w:tc>
          <w:tcPr>
            <w:tcW w:type="dxa" w:w="980"/>
            <w:shd w:fill="FFFCF2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11827"/>
                <w:sz w:val="15"/>
              </w:rPr>
              <w:t>Desemp.</w:t>
            </w:r>
          </w:p>
        </w:tc>
        <w:tc>
          <w:tcPr>
            <w:tcW w:type="dxa" w:w="4190"/>
            <w:shd w:fill="FFFCF2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827"/>
                <w:sz w:val="15"/>
              </w:rPr>
              <w:t>Build gera um único JS de 1,55 MB; CaixaPanel tem 8.853 linhas e App 2.030. Relatórios carregam coleções inteiras e fazem agregação/N+1 em Python.</w:t>
            </w:r>
          </w:p>
        </w:tc>
        <w:tc>
          <w:tcPr>
            <w:tcW w:type="dxa" w:w="2950"/>
            <w:shd w:fill="FFFCF2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827"/>
                <w:sz w:val="15"/>
              </w:rPr>
              <w:t>Inicialização lenta em maquininha/celular e degradação conforme pedidos/clientes crescem.</w:t>
            </w:r>
          </w:p>
        </w:tc>
      </w:tr>
      <w:tr>
        <w:tc>
          <w:tcPr>
            <w:tcW w:type="dxa" w:w="480"/>
            <w:shd w:fill="FFFCF2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111827"/>
                <w:sz w:val="15"/>
              </w:rPr>
              <w:t>13</w:t>
            </w:r>
          </w:p>
        </w:tc>
        <w:tc>
          <w:tcPr>
            <w:tcW w:type="dxa" w:w="760"/>
            <w:shd w:fill="FFFCF2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7A5A00"/>
                <w:sz w:val="15"/>
              </w:rPr>
              <w:t>P1</w:t>
            </w:r>
          </w:p>
        </w:tc>
        <w:tc>
          <w:tcPr>
            <w:tcW w:type="dxa" w:w="980"/>
            <w:shd w:fill="FFFCF2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11827"/>
                <w:sz w:val="15"/>
              </w:rPr>
              <w:t>Qualidade</w:t>
            </w:r>
          </w:p>
        </w:tc>
        <w:tc>
          <w:tcPr>
            <w:tcW w:type="dxa" w:w="4190"/>
            <w:shd w:fill="FFFCF2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827"/>
                <w:sz w:val="15"/>
              </w:rPr>
              <w:t>Suíte completa: 123 testes passaram e 3 falharam; testes compartilham banco/estado global. Não há pipeline CI versionado nem teste PostgreSQL/RLS.</w:t>
            </w:r>
          </w:p>
        </w:tc>
        <w:tc>
          <w:tcPr>
            <w:tcW w:type="dxa" w:w="2950"/>
            <w:shd w:fill="FFFCF2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827"/>
                <w:sz w:val="15"/>
              </w:rPr>
              <w:t>Regressões chegam ao main; SQLite verde não prova isolamento real no Supabase.</w:t>
            </w:r>
          </w:p>
        </w:tc>
      </w:tr>
      <w:tr>
        <w:tc>
          <w:tcPr>
            <w:tcW w:type="dxa" w:w="48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111827"/>
                <w:sz w:val="15"/>
              </w:rPr>
              <w:t>14</w:t>
            </w:r>
          </w:p>
        </w:tc>
        <w:tc>
          <w:tcPr>
            <w:tcW w:type="dxa" w:w="76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111827"/>
                <w:sz w:val="15"/>
              </w:rPr>
              <w:t>P2</w:t>
            </w:r>
          </w:p>
        </w:tc>
        <w:tc>
          <w:tcPr>
            <w:tcW w:type="dxa" w:w="98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11827"/>
                <w:sz w:val="15"/>
              </w:rPr>
              <w:t>Manutenção</w:t>
            </w:r>
          </w:p>
        </w:tc>
        <w:tc>
          <w:tcPr>
            <w:tcW w:type="dxa" w:w="419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827"/>
                <w:sz w:val="15"/>
              </w:rPr>
              <w:t>Há três implementações de impressão (domain/print, domain/printing, printer_service), artefatos .vite e dummy job versionados, README antigo e dependências Python sem lock.</w:t>
            </w:r>
          </w:p>
        </w:tc>
        <w:tc>
          <w:tcPr>
            <w:tcW w:type="dxa" w:w="295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827"/>
                <w:sz w:val="15"/>
              </w:rPr>
              <w:t>Alterações ficam lentas, comportamento diverge e builds deixam de ser reproduzíveis.</w:t>
            </w:r>
          </w:p>
        </w:tc>
      </w:tr>
    </w:tbl>
    <w:p>
      <w:pPr>
        <w:pStyle w:val="Heading2"/>
        <w:keepNext/>
        <w:spacing w:before="160" w:after="80"/>
      </w:pPr>
      <w:r>
        <w:t>Verificações executadas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D0D7DE"/>
          <w:left w:val="single" w:sz="4" w:color="D0D7DE"/>
          <w:bottom w:val="single" w:sz="4" w:color="D0D7DE"/>
          <w:right w:val="single" w:sz="4" w:color="D0D7DE"/>
          <w:insideH w:val="single" w:sz="4" w:color="D0D7DE"/>
          <w:insideV w:val="single" w:sz="4" w:color="D0D7DE"/>
        </w:tblBorders>
      </w:tblPr>
      <w:tblGrid>
        <w:gridCol w:w="2450"/>
        <w:gridCol w:w="1280"/>
        <w:gridCol w:w="5630"/>
      </w:tblGrid>
      <w:tr>
        <w:trPr>
          <w:cantSplit/>
          <w:tblHeader w:val="true"/>
        </w:trPr>
        <w:tc>
          <w:tcPr>
            <w:tcW w:type="dxa" w:w="2450"/>
            <w:shd w:fill="F2F4F7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7365D"/>
                <w:sz w:val="16"/>
              </w:rPr>
              <w:t>Verificação</w:t>
            </w:r>
          </w:p>
        </w:tc>
        <w:tc>
          <w:tcPr>
            <w:tcW w:type="dxa" w:w="1280"/>
            <w:shd w:fill="F2F4F7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17365D"/>
                <w:sz w:val="16"/>
              </w:rPr>
              <w:t>Resultado</w:t>
            </w:r>
          </w:p>
        </w:tc>
        <w:tc>
          <w:tcPr>
            <w:tcW w:type="dxa" w:w="5630"/>
            <w:shd w:fill="F2F4F7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7365D"/>
                <w:sz w:val="16"/>
              </w:rPr>
              <w:t>Leitura</w:t>
            </w:r>
          </w:p>
        </w:tc>
      </w:tr>
      <w:tr>
        <w:tc>
          <w:tcPr>
            <w:tcW w:type="dxa" w:w="245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B5E20"/>
                <w:sz w:val="15"/>
              </w:rPr>
              <w:t>TypeScript: tsc --noEmit</w:t>
            </w:r>
          </w:p>
        </w:tc>
        <w:tc>
          <w:tcPr>
            <w:tcW w:type="dxa" w:w="128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1B5E20"/>
                <w:sz w:val="15"/>
              </w:rPr>
              <w:t>OK</w:t>
            </w:r>
          </w:p>
        </w:tc>
        <w:tc>
          <w:tcPr>
            <w:tcW w:type="dxa" w:w="563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B5E20"/>
                <w:sz w:val="15"/>
              </w:rPr>
              <w:t>Sem erro de tipos.</w:t>
            </w:r>
          </w:p>
        </w:tc>
      </w:tr>
      <w:tr>
        <w:tc>
          <w:tcPr>
            <w:tcW w:type="dxa" w:w="245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B5E20"/>
                <w:sz w:val="15"/>
              </w:rPr>
              <w:t>Vite: build de produção</w:t>
            </w:r>
          </w:p>
        </w:tc>
        <w:tc>
          <w:tcPr>
            <w:tcW w:type="dxa" w:w="128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1B5E20"/>
                <w:sz w:val="15"/>
              </w:rPr>
              <w:t>OK</w:t>
            </w:r>
          </w:p>
        </w:tc>
        <w:tc>
          <w:tcPr>
            <w:tcW w:type="dxa" w:w="563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B5E20"/>
                <w:sz w:val="15"/>
              </w:rPr>
              <w:t>Concluiu; 6 avisos de CSS e chunk JS de 1,55 MB (379 kB gzip).</w:t>
            </w:r>
          </w:p>
        </w:tc>
      </w:tr>
      <w:tr>
        <w:tc>
          <w:tcPr>
            <w:tcW w:type="dxa" w:w="245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9B1C1C"/>
                <w:sz w:val="15"/>
              </w:rPr>
              <w:t>Testes backend</w:t>
            </w:r>
          </w:p>
        </w:tc>
        <w:tc>
          <w:tcPr>
            <w:tcW w:type="dxa" w:w="128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9B1C1C"/>
                <w:sz w:val="15"/>
              </w:rPr>
              <w:t>FALHOU</w:t>
            </w:r>
          </w:p>
        </w:tc>
        <w:tc>
          <w:tcPr>
            <w:tcW w:type="dxa" w:w="563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9B1C1C"/>
                <w:sz w:val="15"/>
              </w:rPr>
              <w:t>123 passaram; 3 falharam. Um é interferência/schema de caixa e dois cobrem upload de assets.</w:t>
            </w:r>
          </w:p>
        </w:tc>
      </w:tr>
      <w:tr>
        <w:tc>
          <w:tcPr>
            <w:tcW w:type="dxa" w:w="245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9B1C1C"/>
                <w:sz w:val="15"/>
              </w:rPr>
              <w:t>Alembic em SQLite limpo</w:t>
            </w:r>
          </w:p>
        </w:tc>
        <w:tc>
          <w:tcPr>
            <w:tcW w:type="dxa" w:w="128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9B1C1C"/>
                <w:sz w:val="15"/>
              </w:rPr>
              <w:t>FALHOU</w:t>
            </w:r>
          </w:p>
        </w:tc>
        <w:tc>
          <w:tcPr>
            <w:tcW w:type="dxa" w:w="563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9B1C1C"/>
                <w:sz w:val="15"/>
              </w:rPr>
              <w:t>Único head, mas upgrade interrompe em e8d7… por ALTER/FK incompatível.</w:t>
            </w:r>
          </w:p>
        </w:tc>
      </w:tr>
      <w:tr>
        <w:tc>
          <w:tcPr>
            <w:tcW w:type="dxa" w:w="245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B5E20"/>
                <w:sz w:val="15"/>
              </w:rPr>
              <w:t>npm audit / pip-audit</w:t>
            </w:r>
          </w:p>
        </w:tc>
        <w:tc>
          <w:tcPr>
            <w:tcW w:type="dxa" w:w="128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1B5E20"/>
                <w:sz w:val="15"/>
              </w:rPr>
              <w:t>OK</w:t>
            </w:r>
          </w:p>
        </w:tc>
        <w:tc>
          <w:tcPr>
            <w:tcW w:type="dxa" w:w="563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B5E20"/>
                <w:sz w:val="15"/>
              </w:rPr>
              <w:t>Nenhuma vulnerabilidade conhecida nas resoluções testadas em 22/07/2026.</w:t>
            </w:r>
          </w:p>
        </w:tc>
      </w:tr>
    </w:tbl>
    <w:p>
      <w:pPr>
        <w:pStyle w:val="Heading2"/>
        <w:keepNext/>
        <w:spacing w:before="140" w:after="60"/>
      </w:pPr>
      <w:r>
        <w:t>Pontos positivos já existentes</w:t>
      </w:r>
    </w:p>
    <w:p>
      <w:pPr>
        <w:spacing w:after="0"/>
      </w:pPr>
      <w:r>
        <w:rPr>
          <w:rFonts w:ascii="Calibri" w:hAnsi="Calibri"/>
          <w:b w:val="0"/>
          <w:i w:val="0"/>
          <w:color w:val="111827"/>
          <w:sz w:val="18"/>
        </w:rPr>
        <w:t>Segredos obrigatórios no backend; bcrypt; Fernet para PII; tentativas de RLS e idempotência; validação por magic bytes no upload; Sentry com PII desativado por padrão; boa base de 126 testes.</w:t>
      </w:r>
    </w:p>
    <w:p>
      <w:r>
        <w:br w:type="page"/>
      </w:r>
    </w:p>
    <w:p>
      <w:pPr>
        <w:pStyle w:val="Heading1"/>
        <w:keepNext/>
        <w:spacing w:before="0" w:after="100"/>
      </w:pPr>
      <w:r>
        <w:t>Plano de ação objetivo — 14 dias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D6DCE5"/>
          <w:left w:val="single" w:sz="4" w:color="D6DCE5"/>
          <w:bottom w:val="single" w:sz="4" w:color="D6DCE5"/>
          <w:right w:val="single" w:sz="4" w:color="D6DCE5"/>
          <w:insideH w:val="single" w:sz="4" w:color="D6DCE5"/>
          <w:insideV w:val="single" w:sz="4" w:color="D6DCE5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EAF4EA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B5E20"/>
                <w:sz w:val="20"/>
              </w:rPr>
              <w:t xml:space="preserve">ORDEM  </w:t>
            </w:r>
            <w:r>
              <w:rPr>
                <w:rFonts w:ascii="Calibri" w:hAnsi="Calibri"/>
                <w:b w:val="0"/>
                <w:i w:val="0"/>
                <w:color w:val="111827"/>
                <w:sz w:val="20"/>
              </w:rPr>
              <w:t>Segurança e integridade primeiro; arquitetura multi-tenant depois; desempenho e limpeza por último. Não tente corrigir o CaixaPanel inteiro antes de estabilizar banco, autorização e impressão.</w:t>
            </w:r>
          </w:p>
        </w:tc>
      </w:tr>
    </w:tbl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D0D7DE"/>
          <w:left w:val="single" w:sz="4" w:color="D0D7DE"/>
          <w:bottom w:val="single" w:sz="4" w:color="D0D7DE"/>
          <w:right w:val="single" w:sz="4" w:color="D0D7DE"/>
          <w:insideH w:val="single" w:sz="4" w:color="D0D7DE"/>
          <w:insideV w:val="single" w:sz="4" w:color="D0D7DE"/>
        </w:tblBorders>
      </w:tblPr>
      <w:tblGrid>
        <w:gridCol w:w="1050"/>
        <w:gridCol w:w="2630"/>
        <w:gridCol w:w="3540"/>
        <w:gridCol w:w="2140"/>
      </w:tblGrid>
      <w:tr>
        <w:trPr>
          <w:cantSplit/>
          <w:tblHeader w:val="true"/>
        </w:trPr>
        <w:tc>
          <w:tcPr>
            <w:tcW w:type="dxa" w:w="1050"/>
            <w:shd w:fill="E8EEF5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17365D"/>
                <w:sz w:val="16"/>
              </w:rPr>
              <w:t>Janela</w:t>
            </w:r>
          </w:p>
        </w:tc>
        <w:tc>
          <w:tcPr>
            <w:tcW w:type="dxa" w:w="2630"/>
            <w:shd w:fill="E8EEF5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7365D"/>
                <w:sz w:val="16"/>
              </w:rPr>
              <w:t>Objetivo</w:t>
            </w:r>
          </w:p>
        </w:tc>
        <w:tc>
          <w:tcPr>
            <w:tcW w:type="dxa" w:w="3540"/>
            <w:shd w:fill="E8EEF5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7365D"/>
                <w:sz w:val="16"/>
              </w:rPr>
              <w:t>Ações objetivas</w:t>
            </w:r>
          </w:p>
        </w:tc>
        <w:tc>
          <w:tcPr>
            <w:tcW w:type="dxa" w:w="2140"/>
            <w:shd w:fill="E8EEF5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7365D"/>
                <w:sz w:val="16"/>
              </w:rPr>
              <w:t>Critério de saída</w:t>
            </w:r>
          </w:p>
        </w:tc>
      </w:tr>
      <w:tr>
        <w:tc>
          <w:tcPr>
            <w:tcW w:type="dxa" w:w="105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17365D"/>
                <w:sz w:val="16"/>
              </w:rPr>
              <w:t>Hoje</w:t>
            </w:r>
          </w:p>
        </w:tc>
        <w:tc>
          <w:tcPr>
            <w:tcW w:type="dxa" w:w="263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827"/>
                <w:sz w:val="16"/>
              </w:rPr>
              <w:t>Conter exposição</w:t>
            </w:r>
          </w:p>
        </w:tc>
        <w:tc>
          <w:tcPr>
            <w:tcW w:type="dxa" w:w="354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827"/>
                <w:sz w:val="16"/>
              </w:rPr>
              <w:t>Revogar/rotacionar token do agente; remover config.json do Git e do histórico; bloquear /sentry-debug; restringir CORS; parar logs de OTP e respostas com str(exc).</w:t>
            </w:r>
          </w:p>
        </w:tc>
        <w:tc>
          <w:tcPr>
            <w:tcW w:type="dxa" w:w="214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827"/>
                <w:sz w:val="16"/>
              </w:rPr>
              <w:t>Novo token só fora do repo; secret scan limpo; endpoints de debug indisponíveis em produção.</w:t>
            </w:r>
          </w:p>
        </w:tc>
      </w:tr>
      <w:tr>
        <w:tc>
          <w:tcPr>
            <w:tcW w:type="dxa" w:w="105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17365D"/>
                <w:sz w:val="16"/>
              </w:rPr>
              <w:t>Dia 1–2</w:t>
            </w:r>
          </w:p>
        </w:tc>
        <w:tc>
          <w:tcPr>
            <w:tcW w:type="dxa" w:w="263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827"/>
                <w:sz w:val="16"/>
              </w:rPr>
              <w:t>Fechar autorização</w:t>
            </w:r>
          </w:p>
        </w:tc>
        <w:tc>
          <w:tcPr>
            <w:tcW w:type="dxa" w:w="354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827"/>
                <w:sz w:val="16"/>
              </w:rPr>
              <w:t>Criar dependências require_role/require_permission; remover force do endpoint comum; restringir caixa, estoque, relatórios, produtos e reabertura; testes negativos por cargo.</w:t>
            </w:r>
          </w:p>
        </w:tc>
        <w:tc>
          <w:tcPr>
            <w:tcW w:type="dxa" w:w="214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827"/>
                <w:sz w:val="16"/>
              </w:rPr>
              <w:t>Garçom recebe 403 para fechar à força, reabrir, administrar catálogo e ver relatórios.</w:t>
            </w:r>
          </w:p>
        </w:tc>
      </w:tr>
      <w:tr>
        <w:tc>
          <w:tcPr>
            <w:tcW w:type="dxa" w:w="105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17365D"/>
                <w:sz w:val="16"/>
              </w:rPr>
              <w:t>Dia 2–3</w:t>
            </w:r>
          </w:p>
        </w:tc>
        <w:tc>
          <w:tcPr>
            <w:tcW w:type="dxa" w:w="263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827"/>
                <w:sz w:val="16"/>
              </w:rPr>
              <w:t>Consertar migrações</w:t>
            </w:r>
          </w:p>
        </w:tc>
        <w:tc>
          <w:tcPr>
            <w:tcW w:type="dxa" w:w="354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827"/>
                <w:sz w:val="16"/>
              </w:rPr>
              <w:t>Usar batch_alter_table no SQLite; tornar migração fail-fast; eliminar DDL emergencial do startup; testar upgrade vazio e upgrade de snapshot.</w:t>
            </w:r>
          </w:p>
        </w:tc>
        <w:tc>
          <w:tcPr>
            <w:tcW w:type="dxa" w:w="214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827"/>
                <w:sz w:val="16"/>
              </w:rPr>
              <w:t>alembic upgrade head passa em SQLite limpo e PostgreSQL de staging; app não inicia com schema inválido.</w:t>
            </w:r>
          </w:p>
        </w:tc>
      </w:tr>
      <w:tr>
        <w:tc>
          <w:tcPr>
            <w:tcW w:type="dxa" w:w="105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17365D"/>
                <w:sz w:val="16"/>
              </w:rPr>
              <w:t>Dia 3–5</w:t>
            </w:r>
          </w:p>
        </w:tc>
        <w:tc>
          <w:tcPr>
            <w:tcW w:type="dxa" w:w="263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827"/>
                <w:sz w:val="16"/>
              </w:rPr>
              <w:t>Isolar tenants</w:t>
            </w:r>
          </w:p>
        </w:tc>
        <w:tc>
          <w:tcPr>
            <w:tcW w:type="dxa" w:w="354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827"/>
                <w:sz w:val="16"/>
              </w:rPr>
              <w:t>Adotar PK técnica + unique(restaurante_id, número/slug/id_negócio); FKs incluem tenant; usar login DB não-owner, sem BYPASSRLS, FORCE RLS quando apropriado; teste com dois restaurantes e “Mesa 1”.</w:t>
            </w:r>
          </w:p>
        </w:tc>
        <w:tc>
          <w:tcPr>
            <w:tcW w:type="dxa" w:w="214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827"/>
                <w:sz w:val="16"/>
              </w:rPr>
              <w:t>Mesmo cenário roda em PostgreSQL e prova zero leitura/escrita cruzada, inclusive raw SQL e background jobs.</w:t>
            </w:r>
          </w:p>
        </w:tc>
      </w:tr>
      <w:tr>
        <w:tc>
          <w:tcPr>
            <w:tcW w:type="dxa" w:w="105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17365D"/>
                <w:sz w:val="16"/>
              </w:rPr>
              <w:t>Dia 5–6</w:t>
            </w:r>
          </w:p>
        </w:tc>
        <w:tc>
          <w:tcPr>
            <w:tcW w:type="dxa" w:w="263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827"/>
                <w:sz w:val="16"/>
              </w:rPr>
              <w:t>Garantir impressão</w:t>
            </w:r>
          </w:p>
        </w:tc>
        <w:tc>
          <w:tcPr>
            <w:tcW w:type="dxa" w:w="354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827"/>
                <w:sz w:val="16"/>
              </w:rPr>
              <w:t>Autenticar agente fora da sessão RLS do tenant; iniciar nova transação já tenantizada; claim com UPDATE … WHERE status='pending' RETURNING ou FOR UPDATE SKIP LOCKED; lease/timeout.</w:t>
            </w:r>
          </w:p>
        </w:tc>
        <w:tc>
          <w:tcPr>
            <w:tcW w:type="dxa" w:w="214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827"/>
                <w:sz w:val="16"/>
              </w:rPr>
              <w:t>Teste concorrente com dois agentes produz exatamente uma impressão por job e recupera job abandonado.</w:t>
            </w:r>
          </w:p>
        </w:tc>
      </w:tr>
      <w:tr>
        <w:tc>
          <w:tcPr>
            <w:tcW w:type="dxa" w:w="105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17365D"/>
                <w:sz w:val="16"/>
              </w:rPr>
              <w:t>Dia 6–8</w:t>
            </w:r>
          </w:p>
        </w:tc>
        <w:tc>
          <w:tcPr>
            <w:tcW w:type="dxa" w:w="263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827"/>
                <w:sz w:val="16"/>
              </w:rPr>
              <w:t>Blindar cardápio</w:t>
            </w:r>
          </w:p>
        </w:tc>
        <w:tc>
          <w:tcPr>
            <w:tcW w:type="dxa" w:w="354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827"/>
                <w:sz w:val="16"/>
              </w:rPr>
              <w:t>Mover cashback para transação server-side; OTP criptográfico em Redis com TTL, tentativas e rate limit; validar restaurante/telefone; idempotency-key em pedido; limitar IA.</w:t>
            </w:r>
          </w:p>
        </w:tc>
        <w:tc>
          <w:tcPr>
            <w:tcW w:type="dxa" w:w="214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827"/>
                <w:sz w:val="16"/>
              </w:rPr>
              <w:t>Repetição da mesma requisição retorna o mesmo pedido; cliente não consegue alterar cashback direto.</w:t>
            </w:r>
          </w:p>
        </w:tc>
      </w:tr>
      <w:tr>
        <w:tc>
          <w:tcPr>
            <w:tcW w:type="dxa" w:w="105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17365D"/>
                <w:sz w:val="16"/>
              </w:rPr>
              <w:t>Dia 8–10</w:t>
            </w:r>
          </w:p>
        </w:tc>
        <w:tc>
          <w:tcPr>
            <w:tcW w:type="dxa" w:w="263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827"/>
                <w:sz w:val="16"/>
              </w:rPr>
              <w:t>Precisão e consultas</w:t>
            </w:r>
          </w:p>
        </w:tc>
        <w:tc>
          <w:tcPr>
            <w:tcW w:type="dxa" w:w="354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827"/>
                <w:sz w:val="16"/>
              </w:rPr>
              <w:t>Migrar dinheiro para Numeric(12,2) ou centavos inteiros; agregações SQL; paginação; índices compostos por tenant/status/data; medir com EXPLAIN ANALYZE.</w:t>
            </w:r>
          </w:p>
        </w:tc>
        <w:tc>
          <w:tcPr>
            <w:tcW w:type="dxa" w:w="214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827"/>
                <w:sz w:val="16"/>
              </w:rPr>
              <w:t>Totais batem em testes de centavos; relatórios não carregam todas as linhas e atendem SLO definido.</w:t>
            </w:r>
          </w:p>
        </w:tc>
      </w:tr>
      <w:tr>
        <w:tc>
          <w:tcPr>
            <w:tcW w:type="dxa" w:w="105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17365D"/>
                <w:sz w:val="16"/>
              </w:rPr>
              <w:t>Dia 10–12</w:t>
            </w:r>
          </w:p>
        </w:tc>
        <w:tc>
          <w:tcPr>
            <w:tcW w:type="dxa" w:w="263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827"/>
                <w:sz w:val="16"/>
              </w:rPr>
              <w:t>Reduzir frontend</w:t>
            </w:r>
          </w:p>
        </w:tc>
        <w:tc>
          <w:tcPr>
            <w:tcW w:type="dxa" w:w="354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827"/>
                <w:sz w:val="16"/>
              </w:rPr>
              <w:t>Separar rotas com lazy import; extrair serviços/hooks do App e CaixaPanel; dividir por módulos Caixa, Equipe, Relatórios e Estoque; remover polling redundante.</w:t>
            </w:r>
          </w:p>
        </w:tc>
        <w:tc>
          <w:tcPr>
            <w:tcW w:type="dxa" w:w="214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827"/>
                <w:sz w:val="16"/>
              </w:rPr>
              <w:t>Chunk inicial &lt;500 kB minificado e cada módulo tem fronteira/teste claro.</w:t>
            </w:r>
          </w:p>
        </w:tc>
      </w:tr>
      <w:tr>
        <w:tc>
          <w:tcPr>
            <w:tcW w:type="dxa" w:w="105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17365D"/>
                <w:sz w:val="16"/>
              </w:rPr>
              <w:t>Dia 12–14</w:t>
            </w:r>
          </w:p>
        </w:tc>
        <w:tc>
          <w:tcPr>
            <w:tcW w:type="dxa" w:w="263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827"/>
                <w:sz w:val="16"/>
              </w:rPr>
              <w:t>Criar gate de piloto</w:t>
            </w:r>
          </w:p>
        </w:tc>
        <w:tc>
          <w:tcPr>
            <w:tcW w:type="dxa" w:w="354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827"/>
                <w:sz w:val="16"/>
              </w:rPr>
              <w:t>CI: tsc, build, pytest, migrações SQLite+Postgres, secret scan, npm/pip audit; teste de carga; queda de rede/impressora; backup e restauração.</w:t>
            </w:r>
          </w:p>
        </w:tc>
        <w:tc>
          <w:tcPr>
            <w:tcW w:type="dxa" w:w="214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827"/>
                <w:sz w:val="16"/>
              </w:rPr>
              <w:t>Todos os gates verdes em commit imutável; checklist de rollback e responsável definidos.</w:t>
            </w:r>
          </w:p>
        </w:tc>
      </w:tr>
    </w:tbl>
    <w:p>
      <w:pPr>
        <w:pStyle w:val="Heading2"/>
        <w:keepNext/>
        <w:spacing w:before="160" w:after="80"/>
      </w:pPr>
      <w:r>
        <w:t>Critérios mínimos para autorizar o piloto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D0D7DE"/>
          <w:left w:val="single" w:sz="4" w:color="D0D7DE"/>
          <w:bottom w:val="single" w:sz="4" w:color="D0D7DE"/>
          <w:right w:val="single" w:sz="4" w:color="D0D7DE"/>
          <w:insideH w:val="single" w:sz="4" w:color="D0D7DE"/>
          <w:insideV w:val="single" w:sz="4" w:color="D0D7DE"/>
        </w:tblBorders>
      </w:tblPr>
      <w:tblGrid>
        <w:gridCol w:w="1700"/>
        <w:gridCol w:w="7660"/>
      </w:tblGrid>
      <w:tr>
        <w:trPr>
          <w:cantSplit/>
        </w:trPr>
        <w:tc>
          <w:tcPr>
            <w:tcW w:type="dxa" w:w="1700"/>
            <w:shd w:fill="F2F4F7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7365D"/>
                <w:sz w:val="16"/>
              </w:rPr>
              <w:t>Dimensão</w:t>
            </w:r>
          </w:p>
        </w:tc>
        <w:tc>
          <w:tcPr>
            <w:tcW w:type="dxa" w:w="7660"/>
            <w:shd w:fill="F2F4F7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7365D"/>
                <w:sz w:val="16"/>
              </w:rPr>
              <w:t>Aceite</w:t>
            </w:r>
          </w:p>
        </w:tc>
      </w:tr>
      <w:tr>
        <w:tc>
          <w:tcPr>
            <w:tcW w:type="dxa" w:w="170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7365D"/>
                <w:sz w:val="16"/>
              </w:rPr>
              <w:t>Segurança</w:t>
            </w:r>
          </w:p>
        </w:tc>
        <w:tc>
          <w:tcPr>
            <w:tcW w:type="dxa" w:w="766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827"/>
                <w:sz w:val="16"/>
              </w:rPr>
              <w:t>0 P0 aberto; token rotacionado; cargos testados; CORS e erros endurecidos.</w:t>
            </w:r>
          </w:p>
        </w:tc>
      </w:tr>
      <w:tr>
        <w:tc>
          <w:tcPr>
            <w:tcW w:type="dxa" w:w="170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7365D"/>
                <w:sz w:val="16"/>
              </w:rPr>
              <w:t>Dados</w:t>
            </w:r>
          </w:p>
        </w:tc>
        <w:tc>
          <w:tcPr>
            <w:tcW w:type="dxa" w:w="766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827"/>
                <w:sz w:val="16"/>
              </w:rPr>
              <w:t>Migrações limpas; backup restaurado; isolamento validado em PostgreSQL com dois tenants.</w:t>
            </w:r>
          </w:p>
        </w:tc>
      </w:tr>
      <w:tr>
        <w:tc>
          <w:tcPr>
            <w:tcW w:type="dxa" w:w="170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7365D"/>
                <w:sz w:val="16"/>
              </w:rPr>
              <w:t>Operação</w:t>
            </w:r>
          </w:p>
        </w:tc>
        <w:tc>
          <w:tcPr>
            <w:tcW w:type="dxa" w:w="766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827"/>
                <w:sz w:val="16"/>
              </w:rPr>
              <w:t>Pedido e pagamento idempotentes; impressão exatamente uma vez no teste concorrente; contingência documentada.</w:t>
            </w:r>
          </w:p>
        </w:tc>
      </w:tr>
      <w:tr>
        <w:tc>
          <w:tcPr>
            <w:tcW w:type="dxa" w:w="170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7365D"/>
                <w:sz w:val="16"/>
              </w:rPr>
              <w:t>Qualidade</w:t>
            </w:r>
          </w:p>
        </w:tc>
        <w:tc>
          <w:tcPr>
            <w:tcW w:type="dxa" w:w="766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827"/>
                <w:sz w:val="16"/>
              </w:rPr>
              <w:t>CI verde; nenhum teste intermitente; Sentry sem PII; healthcheck não divulga detalhes.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181" w:right="1440" w:bottom="1037" w:left="1440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b w:val="0"/>
        <w:i w:val="0"/>
        <w:color w:val="5B6573"/>
        <w:sz w:val="17"/>
      </w:rPr>
      <w:t xml:space="preserve">Página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Calibri" w:hAnsi="Calibri"/>
        <w:b/>
        <w:i w:val="0"/>
        <w:color w:val="5B6573"/>
        <w:sz w:val="17"/>
      </w:rPr>
      <w:t>KÔMA  |  Auditoria técnica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76" w:lineRule="auto"/>
    </w:pPr>
    <w:rPr>
      <w:rFonts w:ascii="Calibri" w:hAnsi="Calibri"/>
      <w:color w:val="11182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4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Relatório de Auditoria Técnica — KÔMA</dc:title>
  <dc:subject>Arquitetura, segurança, desempenho, manutenção e plano de ação</dc:subject>
  <dc:creator>ChatGPT Work</dc:creator>
  <cp:keywords>KÔMA, FastAPI, React, Supabase, segurança, arquitetura, auditoria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