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i w:val="0"/>
          <w:color w:val="2E74B5"/>
          <w:sz w:val="18"/>
        </w:rPr>
        <w:t>RELATÓRIO DE AUDITORIA TÉCNICA</w:t>
      </w:r>
    </w:p>
    <w:p>
      <w:pPr>
        <w:spacing w:before="0" w:after="40"/>
        <w:pBdr>
          <w:bottom w:val="single" w:sz="14" w:space="4" w:color="2E74B5"/>
        </w:pBdr>
      </w:pPr>
      <w:r>
        <w:rPr>
          <w:rFonts w:ascii="Calibri" w:hAnsi="Calibri"/>
          <w:b/>
          <w:i w:val="0"/>
          <w:color w:val="17365D"/>
          <w:sz w:val="42"/>
        </w:rPr>
        <w:t>KÔMA — arquitetura, segurança, desempenho e manutenção</w:t>
      </w:r>
    </w:p>
    <w:p>
      <w:pPr>
        <w:spacing w:after="160"/>
      </w:pPr>
      <w:r>
        <w:rPr>
          <w:rFonts w:ascii="Calibri" w:hAnsi="Calibri"/>
          <w:b w:val="0"/>
          <w:i w:val="0"/>
          <w:color w:val="5B6573"/>
          <w:sz w:val="18"/>
        </w:rPr>
        <w:t>Escopo: Georlan/sistema-gourmet-bistro · branch main · commit bfcee7f · 22/07/2026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0"/>
              </w:rPr>
              <w:t xml:space="preserve">DECISÃO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Não liberar para múltiplos restaurantes, pagamentos reais ou dados pessoais reais. Um piloto controlado com um único estabelecimento só deve ocorrer depois de todos os P0 abaixo.</w:t>
            </w:r>
          </w:p>
        </w:tc>
      </w:tr>
    </w:tbl>
    <w:p>
      <w:pPr>
        <w:pStyle w:val="Heading1"/>
        <w:keepNext/>
        <w:spacing w:before="160" w:after="100"/>
      </w:pPr>
      <w:r>
        <w:t>Riscos críticos — corrigir antes do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01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Arquitetura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Chaves de negócio são globais: Categoria/Produto/Mesa usam PK sem restaurante_id; Categoria.nome também é unique global (models.py:84–115). [RESOLVIDO - Migration b1c2 unique(restaurante_id, nome)]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segundo restaurante não consegue ter “Mesa 1” ou IDs repetidos; FKs podem cruzar tenants.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02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Segurança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RLS não tem cadeia confiável: role koma_app é NOLOGIN, não há FORCE RLS; sessões públicas/agente recebem tenant 0 e tarefas criam novas sessões sem SET LOCAL (database.py:121–135; migrations 997… e a1…). [RESOLVIDO - RLS tenant isolation &amp; SET LOCAL]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Conforme o usuário do banco, ocorre bloqueio total ou bypass de isolamento, com risco de vazamento entre clientes.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03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Autorização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Matriz de cargos não é aplicada centralmente. Qualquer usuário autenticado pode fechar com force, reabrir ou alterar status; relatórios e vários CRUDs só exigem login (orders.py:635–770). [RESOLVIDO - Commit a3ddf03]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Fraude operacional, fechamento sem pagamento e exposição de indicadores/equipe.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04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Credenciais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koma-print-agent/config.json contém token de agente real-formato e está no Git desde múltiplos commits. O valor não foi reproduzido neste relatório. [RESOLVIDO - Commit 897a4dd]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Quem obtiver o repositório pode personificar o caixa e consumir/confirmar jobs de impressão.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05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Banco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Uma migração limpa em SQLite falha em e8d7… ao adicionar FK sem batch mode; o startup captura a exceção e continua (main.py:195–198). [RESOLVIDO - Migration e8d7 batch_alter_table]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Ambiente sobe com schema incompleto; teste de caixa falha por tabela ausente.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06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Cardápio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 navegador atualiza cashback diretamente via Supabase anon; OTP usa random de 4 dígitos, é logado e não tem limite de tentativas; chat IA é público (CardapioDigital.tsx:211–225; cardapio.py:239–247).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Manipulação de saldo, enumeração/PII, abuso de custo e autenticação fraca.</w:t>
            </w:r>
          </w:p>
        </w:tc>
      </w:tr>
      <w:tr>
        <w:tc>
          <w:tcPr>
            <w:tcW w:type="dxa" w:w="4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07</w:t>
            </w:r>
          </w:p>
        </w:tc>
        <w:tc>
          <w:tcPr>
            <w:tcW w:type="dxa" w:w="76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P0</w:t>
            </w:r>
          </w:p>
        </w:tc>
        <w:tc>
          <w:tcPr>
            <w:tcW w:type="dxa" w:w="98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Impressão</w:t>
            </w:r>
          </w:p>
        </w:tc>
        <w:tc>
          <w:tcPr>
            <w:tcW w:type="dxa" w:w="419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Claim é leitura + alteração + commit, sem UPDATE condicional/lock; a autenticação do agente descobre o tenant depois da sessão RLS nascer (print_agents.py:177–205). [RESOLVIDO - UPDATE atômico condicional + stuck recovery]</w:t>
            </w:r>
          </w:p>
        </w:tc>
        <w:tc>
          <w:tcPr>
            <w:tcW w:type="dxa" w:w="2950"/>
            <w:shd w:fill="FFF8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Dois agentes podem imprimir o mesmo ticket; com RLS estrito, nenhum job pode ser lido.</w:t>
            </w:r>
          </w:p>
        </w:tc>
      </w:tr>
    </w:tbl>
    <w:p>
      <w:pPr>
        <w:pStyle w:val="Heading2"/>
        <w:keepNext/>
        <w:spacing w:before="100" w:after="40"/>
      </w:pPr>
      <w:r>
        <w:t>Limites desta auditoria</w:t>
      </w:r>
    </w:p>
    <w:p>
      <w:pPr>
        <w:spacing w:after="0"/>
      </w:pPr>
      <w:r>
        <w:rPr>
          <w:rFonts w:ascii="Calibri" w:hAnsi="Calibri"/>
          <w:b w:val="0"/>
          <w:i/>
          <w:color w:val="5B6573"/>
          <w:sz w:val="16"/>
        </w:rPr>
        <w:t>Revisão estática do commit, build, testes e migração SQLite limpa. Sem acesso ao PostgreSQL/Supabase de produção, Railway/Cloudflare, tráfego ou impressoras físicas; RLS, latência e recuperação exigem validação em staging.</w:t>
      </w:r>
    </w:p>
    <w:p>
      <w:r>
        <w:br w:type="page"/>
      </w:r>
    </w:p>
    <w:p>
      <w:pPr>
        <w:pStyle w:val="Heading1"/>
        <w:keepNext/>
        <w:spacing w:before="0" w:after="100"/>
      </w:pPr>
      <w:r>
        <w:t>Riscos altos e médios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80"/>
        <w:gridCol w:w="760"/>
        <w:gridCol w:w="980"/>
        <w:gridCol w:w="4190"/>
        <w:gridCol w:w="2950"/>
      </w:tblGrid>
      <w:tr>
        <w:trPr>
          <w:cantSplit/>
          <w:tblHeader w:val="true"/>
        </w:trPr>
        <w:tc>
          <w:tcPr>
            <w:tcW w:type="dxa" w:w="4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ID</w:t>
            </w:r>
          </w:p>
        </w:tc>
        <w:tc>
          <w:tcPr>
            <w:tcW w:type="dxa" w:w="76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Prior.</w:t>
            </w:r>
          </w:p>
        </w:tc>
        <w:tc>
          <w:tcPr>
            <w:tcW w:type="dxa" w:w="98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Área</w:t>
            </w:r>
          </w:p>
        </w:tc>
        <w:tc>
          <w:tcPr>
            <w:tcW w:type="dxa" w:w="419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Achado / evidência</w:t>
            </w:r>
          </w:p>
        </w:tc>
        <w:tc>
          <w:tcPr>
            <w:tcW w:type="dxa" w:w="29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Impacto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08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Financeiro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Preços, pagamentos, caixa, metas e custos usam Float; totais críticos são recalculados em Python (models.py:101, 155, 213, 246–310).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Centavos divergentes, conciliação inconsistente e relatórios diferentes do caixa.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09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Sessão/API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JWT dura 30 dias e fica no localStorage; CORS reflete qualquer origem com credenciais; erros expõem str(exc); /sentry-debug é público (config.py:20; main.py:200–245, 368–372).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Maior janela para roubo de sessão e divulgação de detalhes internos.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10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Integridade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Pedido online e várias mutações não usam chave de idempotência de entrada; número mensal é max+1. Proteção existe apenas em partes de pagamentos/print.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Reenvio, timeout ou concorrência pode duplicar pedidos e números.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11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Escala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OTP e WebSockets vivem só em memória do processo; super-admin mistura mocks com ações reais e mostra integrações verdes estáticas.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Reinício perde estado; múltiplos workers divergem; painel pode indicar saúde inexistente.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12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Desemp.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Build gera um único JS de 1,55 MB; CaixaPanel tem 8.853 linhas e App 2.030. Relatórios carregam coleções inteiras e fazem agregação/N+1 em Python.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Inicialização lenta em maquininha/celular e degradação conforme pedidos/clientes crescem.</w:t>
            </w:r>
          </w:p>
        </w:tc>
      </w:tr>
      <w:tr>
        <w:tc>
          <w:tcPr>
            <w:tcW w:type="dxa" w:w="4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13</w:t>
            </w:r>
          </w:p>
        </w:tc>
        <w:tc>
          <w:tcPr>
            <w:tcW w:type="dxa" w:w="76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15"/>
              </w:rPr>
              <w:t>P1</w:t>
            </w:r>
          </w:p>
        </w:tc>
        <w:tc>
          <w:tcPr>
            <w:tcW w:type="dxa" w:w="98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Qualidade</w:t>
            </w:r>
          </w:p>
        </w:tc>
        <w:tc>
          <w:tcPr>
            <w:tcW w:type="dxa" w:w="419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Suíte completa: 123 testes passaram e 3 falharam; testes compartilham banco/estado global. Não há pipeline CI versionado nem teste PostgreSQL/RLS.</w:t>
            </w:r>
          </w:p>
        </w:tc>
        <w:tc>
          <w:tcPr>
            <w:tcW w:type="dxa" w:w="2950"/>
            <w:shd w:fill="FFFCF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Regressões chegam ao main; SQLite verde não prova isolamento real no Supabase.</w:t>
            </w:r>
          </w:p>
        </w:tc>
      </w:tr>
      <w:tr>
        <w:tc>
          <w:tcPr>
            <w:tcW w:type="dxa" w:w="4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14</w:t>
            </w:r>
          </w:p>
        </w:tc>
        <w:tc>
          <w:tcPr>
            <w:tcW w:type="dxa" w:w="7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11827"/>
                <w:sz w:val="15"/>
              </w:rPr>
              <w:t>P2</w:t>
            </w:r>
          </w:p>
        </w:tc>
        <w:tc>
          <w:tcPr>
            <w:tcW w:type="dxa" w:w="9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Manutenção</w:t>
            </w:r>
          </w:p>
        </w:tc>
        <w:tc>
          <w:tcPr>
            <w:tcW w:type="dxa" w:w="419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Há três implementações de impressão (domain/print, domain/printing, printer_service), artefatos .vite e dummy job versionados, README antigo e dependências Python sem lock.</w:t>
            </w:r>
          </w:p>
        </w:tc>
        <w:tc>
          <w:tcPr>
            <w:tcW w:type="dxa" w:w="29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5"/>
              </w:rPr>
              <w:t>Alterações ficam lentas, comportamento diverge e builds deixam de ser reproduzíveis.</w:t>
            </w:r>
          </w:p>
        </w:tc>
      </w:tr>
    </w:tbl>
    <w:p>
      <w:pPr>
        <w:pStyle w:val="Heading2"/>
        <w:keepNext/>
        <w:spacing w:before="160" w:after="80"/>
      </w:pPr>
      <w:r>
        <w:t>Verificações executadas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50"/>
        <w:gridCol w:w="1280"/>
        <w:gridCol w:w="5630"/>
      </w:tblGrid>
      <w:tr>
        <w:trPr>
          <w:cantSplit/>
          <w:tblHeader w:val="true"/>
        </w:trPr>
        <w:tc>
          <w:tcPr>
            <w:tcW w:type="dxa" w:w="245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Verificação</w:t>
            </w:r>
          </w:p>
        </w:tc>
        <w:tc>
          <w:tcPr>
            <w:tcW w:type="dxa" w:w="128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Resultado</w:t>
            </w:r>
          </w:p>
        </w:tc>
        <w:tc>
          <w:tcPr>
            <w:tcW w:type="dxa" w:w="563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Leitura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TypeScript: tsc --noEmit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Sem erro de tipos.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Vite: build de produção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Concluiu; 6 avisos de CSS e chunk JS de 1,55 MB (379 kB gzip).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Testes backend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123 passaram; 3 falharam. Um é interferência/schema de caixa e dois cobrem upload de assets.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Alembic em SQLite limpo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15"/>
              </w:rPr>
              <w:t>FALHOU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9B1C1C"/>
                <w:sz w:val="15"/>
              </w:rPr>
              <w:t>Único head, mas upgrade interrompe em e8d7… por ALTER/FK incompatível.</w:t>
            </w:r>
          </w:p>
        </w:tc>
      </w:tr>
      <w:tr>
        <w:tc>
          <w:tcPr>
            <w:tcW w:type="dxa" w:w="24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npm audit / pip-audit</w:t>
            </w:r>
          </w:p>
        </w:tc>
        <w:tc>
          <w:tcPr>
            <w:tcW w:type="dxa" w:w="12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B5E20"/>
                <w:sz w:val="15"/>
              </w:rPr>
              <w:t>OK</w:t>
            </w:r>
          </w:p>
        </w:tc>
        <w:tc>
          <w:tcPr>
            <w:tcW w:type="dxa" w:w="5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B5E20"/>
                <w:sz w:val="15"/>
              </w:rPr>
              <w:t>Nenhuma vulnerabilidade conhecida nas resoluções testadas em 22/07/2026.</w:t>
            </w:r>
          </w:p>
        </w:tc>
      </w:tr>
    </w:tbl>
    <w:p>
      <w:pPr>
        <w:pStyle w:val="Heading2"/>
        <w:keepNext/>
        <w:spacing w:before="140" w:after="60"/>
      </w:pPr>
      <w:r>
        <w:t>Pontos positivos já existentes</w:t>
      </w:r>
    </w:p>
    <w:p>
      <w:pPr>
        <w:spacing w:after="0"/>
      </w:pPr>
      <w:r>
        <w:rPr>
          <w:rFonts w:ascii="Calibri" w:hAnsi="Calibri"/>
          <w:b w:val="0"/>
          <w:i w:val="0"/>
          <w:color w:val="111827"/>
          <w:sz w:val="18"/>
        </w:rPr>
        <w:t>Segredos obrigatórios no backend; bcrypt; Fernet para PII; tentativas de RLS e idempotência; validação por magic bytes no upload; Sentry com PII desativado por padrão; boa base de 126 testes.</w:t>
      </w:r>
    </w:p>
    <w:p>
      <w:r>
        <w:br w:type="page"/>
      </w:r>
    </w:p>
    <w:p>
      <w:pPr>
        <w:pStyle w:val="Heading1"/>
        <w:keepNext/>
        <w:spacing w:before="0" w:after="100"/>
      </w:pPr>
      <w:r>
        <w:t>Plano de ação objetivo — 14 dias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B5E20"/>
                <w:sz w:val="20"/>
              </w:rPr>
              <w:t xml:space="preserve">ORDEM  </w:t>
            </w:r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Segurança e integridade primeiro; arquitetura multi-tenant depois; desempenho e limpeza por último. Não tente corrigir o CaixaPanel inteiro antes de estabilizar banco, autorização e impressão.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050"/>
        <w:gridCol w:w="2630"/>
        <w:gridCol w:w="3540"/>
        <w:gridCol w:w="2140"/>
      </w:tblGrid>
      <w:tr>
        <w:trPr>
          <w:cantSplit/>
          <w:tblHeader w:val="true"/>
        </w:trPr>
        <w:tc>
          <w:tcPr>
            <w:tcW w:type="dxa" w:w="105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Janela</w:t>
            </w:r>
          </w:p>
        </w:tc>
        <w:tc>
          <w:tcPr>
            <w:tcW w:type="dxa" w:w="263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Objetivo</w:t>
            </w:r>
          </w:p>
        </w:tc>
        <w:tc>
          <w:tcPr>
            <w:tcW w:type="dxa" w:w="35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Ações objetivas</w:t>
            </w:r>
          </w:p>
        </w:tc>
        <w:tc>
          <w:tcPr>
            <w:tcW w:type="dxa" w:w="2140"/>
            <w:shd w:fill="E8EEF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Critério de saída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Hoje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Conter exposição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Revogar/rotacionar token do agente; remover config.json do Git e do histórico; bloquear /sentry-debug; restringir CORS; parar logs de OTP e respostas com str(exc).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Novo token só fora do repo; secret scan limpo; endpoints de debug indisponíveis em produção.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1–2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Fechar autorização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dependências require_role/require_permission; remover force do endpoint comum; restringir caixa, estoque, relatórios, produtos e reabertura; testes negativos por cargo.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Garçom recebe 403 para fechar à força, reabrir, administrar catálogo e ver relatórios.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2–3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Consertar migrações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Usar batch_alter_table no SQLite; tornar migração fail-fast; eliminar DDL emergencial do startup; testar upgrade vazio e upgrade de snapshot.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alembic upgrade head passa em SQLite limpo e PostgreSQL de staging; app não inicia com schema inválido.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3–5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Isolar tenants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Adotar PK técnica + unique(restaurante_id, número/slug/id_negócio); FKs incluem tenant; usar login DB não-owner, sem BYPASSRLS, FORCE RLS quando apropriado; teste com dois restaurantes e “Mesa 1”.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Mesmo cenário roda em PostgreSQL e prova zero leitura/escrita cruzada, inclusive raw SQL e background jobs.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5–6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Garantir impressão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Autenticar agente fora da sessão RLS do tenant; iniciar nova transação já tenantizada; claim com UPDATE … WHERE status='pending' RETURNING ou FOR UPDATE SKIP LOCKED; lease/timeout.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Teste concorrente com dois agentes produz exatamente uma impressão por job e recupera job abandonado.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6–8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Blindar cardápio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Mover cashback para transação server-side; OTP criptográfico em Redis com TTL, tentativas e rate limit; validar restaurante/telefone; idempotency-key em pedido; limitar IA.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Repetição da mesma requisição retorna o mesmo pedido; cliente não consegue alterar cashback direto.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8–10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Precisão e consultas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Migrar dinheiro para Numeric(12,2) ou centavos inteiros; agregações SQL; paginação; índices compostos por tenant/status/data; medir com EXPLAIN ANALYZE.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Totais batem em testes de centavos; relatórios não carregam todas as linhas e atendem SLO definido.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10–12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Reduzir frontend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Separar rotas com lazy import; extrair serviços/hooks do App e CaixaPanel; dividir por módulos Caixa, Equipe, Relatórios e Estoque; remover polling redundante.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Chunk inicial &lt;500 kB minificado e cada módulo tem fronteira/teste claro.</w:t>
            </w:r>
          </w:p>
        </w:tc>
      </w:tr>
      <w:tr>
        <w:tc>
          <w:tcPr>
            <w:tcW w:type="dxa" w:w="105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Dia 12–14</w:t>
            </w:r>
          </w:p>
        </w:tc>
        <w:tc>
          <w:tcPr>
            <w:tcW w:type="dxa" w:w="26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Criar gate de piloto</w:t>
            </w:r>
          </w:p>
        </w:tc>
        <w:tc>
          <w:tcPr>
            <w:tcW w:type="dxa" w:w="35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CI: tsc, build, pytest, migrações SQLite+Postgres, secret scan, npm/pip audit; teste de carga; queda de rede/impressora; backup e restauração.</w:t>
            </w:r>
          </w:p>
        </w:tc>
        <w:tc>
          <w:tcPr>
            <w:tcW w:type="dxa" w:w="214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Todos os gates verdes em commit imutável; checklist de rollback e responsável definidos.</w:t>
            </w:r>
          </w:p>
        </w:tc>
      </w:tr>
    </w:tbl>
    <w:p>
      <w:pPr>
        <w:pStyle w:val="Heading2"/>
        <w:keepNext/>
        <w:spacing w:before="160" w:after="80"/>
      </w:pPr>
      <w:r>
        <w:t>Critérios mínimos para autorizar o piloto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Dimensão</w:t>
            </w:r>
          </w:p>
        </w:tc>
        <w:tc>
          <w:tcPr>
            <w:tcW w:type="dxa" w:w="7660"/>
            <w:shd w:fill="F2F4F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Aceite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Segurança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0 P0 aberto; token rotacionado; cargos testados; CORS e erros endurecidos.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Dados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Migrações limpas; backup restaurado; isolamento validado em PostgreSQL com dois tenants.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Operação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Pedido e pagamento idempotentes; impressão exatamente uma vez no teste concorrente; contingência documentada.</w:t>
            </w:r>
          </w:p>
        </w:tc>
      </w:tr>
      <w:tr>
        <w:tc>
          <w:tcPr>
            <w:tcW w:type="dxa" w:w="17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7365D"/>
                <w:sz w:val="16"/>
              </w:rPr>
              <w:t>Qualidade</w:t>
            </w:r>
          </w:p>
        </w:tc>
        <w:tc>
          <w:tcPr>
            <w:tcW w:type="dxa" w:w="766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827"/>
                <w:sz w:val="16"/>
              </w:rPr>
              <w:t>CI verde; nenhum teste intermitente; Sentry sem PII; healthcheck não divulga detalhes.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3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3"/>
        <w:sz w:val="17"/>
      </w:rPr>
      <w:t>KÔMA  |  Auditoria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Auditoria Técnica — KÔMA</dc:title>
  <dc:subject>Arquitetura, segurança, desempenho, manutenção e plano de ação</dc:subject>
  <dc:creator>ChatGPT Work</dc:creator>
  <cp:keywords>KÔMA, FastAPI, React, Supabase, segurança, arquitetura, auditoria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