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388" w:type="dxa"/>
        <w:tblLook w:val="04A0" w:firstRow="1" w:lastRow="0" w:firstColumn="1" w:lastColumn="0" w:noHBand="0" w:noVBand="1"/>
      </w:tblPr>
      <w:tblGrid>
        <w:gridCol w:w="1738"/>
        <w:gridCol w:w="1720"/>
        <w:gridCol w:w="1660"/>
        <w:gridCol w:w="1660"/>
        <w:gridCol w:w="1641"/>
        <w:gridCol w:w="1786"/>
        <w:gridCol w:w="1660"/>
        <w:gridCol w:w="1660"/>
        <w:gridCol w:w="1641"/>
        <w:gridCol w:w="222"/>
      </w:tblGrid>
      <w:tr w:rsidR="00650FA7" w:rsidRPr="00650FA7" w14:paraId="3FEE9EA1" w14:textId="77777777" w:rsidTr="00650FA7">
        <w:trPr>
          <w:gridAfter w:val="1"/>
          <w:wAfter w:w="221" w:type="dxa"/>
          <w:trHeight w:val="550"/>
        </w:trPr>
        <w:tc>
          <w:tcPr>
            <w:tcW w:w="1696"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2001B814"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Marking Criteria and % allocation</w:t>
            </w:r>
          </w:p>
        </w:tc>
        <w:tc>
          <w:tcPr>
            <w:tcW w:w="1724"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7CFFAB7B"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High Distinction + (100%)</w:t>
            </w:r>
          </w:p>
        </w:tc>
        <w:tc>
          <w:tcPr>
            <w:tcW w:w="1667"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7762942D"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High Distinction (92%)</w:t>
            </w:r>
          </w:p>
        </w:tc>
        <w:tc>
          <w:tcPr>
            <w:tcW w:w="1667"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1BDB845A"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Distinction</w:t>
            </w:r>
            <w:r w:rsidRPr="000A3E5F">
              <w:rPr>
                <w:rFonts w:eastAsia="Times New Roman" w:cs="Calibri"/>
                <w:b/>
                <w:bCs/>
                <w:color w:val="000000"/>
                <w:kern w:val="0"/>
                <w:sz w:val="22"/>
                <w:szCs w:val="22"/>
                <w:lang w:eastAsia="en-AU"/>
                <w14:ligatures w14:val="none"/>
              </w:rPr>
              <w:br/>
              <w:t>(79%)</w:t>
            </w:r>
          </w:p>
        </w:tc>
        <w:tc>
          <w:tcPr>
            <w:tcW w:w="236"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4F7129DD"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Credit</w:t>
            </w:r>
            <w:r w:rsidRPr="000A3E5F">
              <w:rPr>
                <w:rFonts w:eastAsia="Times New Roman" w:cs="Calibri"/>
                <w:b/>
                <w:bCs/>
                <w:color w:val="000000"/>
                <w:kern w:val="0"/>
                <w:sz w:val="22"/>
                <w:szCs w:val="22"/>
                <w:lang w:eastAsia="en-AU"/>
                <w14:ligatures w14:val="none"/>
              </w:rPr>
              <w:br/>
              <w:t>(69%)</w:t>
            </w:r>
          </w:p>
        </w:tc>
        <w:tc>
          <w:tcPr>
            <w:tcW w:w="3212"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435FF3D4"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Pass</w:t>
            </w:r>
            <w:r w:rsidRPr="000A3E5F">
              <w:rPr>
                <w:rFonts w:eastAsia="Times New Roman" w:cs="Calibri"/>
                <w:b/>
                <w:bCs/>
                <w:color w:val="000000"/>
                <w:kern w:val="0"/>
                <w:sz w:val="22"/>
                <w:szCs w:val="22"/>
                <w:lang w:eastAsia="en-AU"/>
                <w14:ligatures w14:val="none"/>
              </w:rPr>
              <w:br/>
              <w:t>(57%)</w:t>
            </w:r>
          </w:p>
        </w:tc>
        <w:tc>
          <w:tcPr>
            <w:tcW w:w="1667"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5319DF1C"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Marginal Fail</w:t>
            </w:r>
            <w:r w:rsidRPr="000A3E5F">
              <w:rPr>
                <w:rFonts w:eastAsia="Times New Roman" w:cs="Calibri"/>
                <w:b/>
                <w:bCs/>
                <w:color w:val="000000"/>
                <w:kern w:val="0"/>
                <w:sz w:val="22"/>
                <w:szCs w:val="22"/>
                <w:lang w:eastAsia="en-AU"/>
                <w14:ligatures w14:val="none"/>
              </w:rPr>
              <w:br/>
              <w:t>(42%)</w:t>
            </w:r>
          </w:p>
        </w:tc>
        <w:tc>
          <w:tcPr>
            <w:tcW w:w="1667"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22911FDF"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Fail</w:t>
            </w:r>
            <w:r w:rsidRPr="000A3E5F">
              <w:rPr>
                <w:rFonts w:eastAsia="Times New Roman" w:cs="Calibri"/>
                <w:b/>
                <w:bCs/>
                <w:color w:val="000000"/>
                <w:kern w:val="0"/>
                <w:sz w:val="22"/>
                <w:szCs w:val="22"/>
                <w:lang w:eastAsia="en-AU"/>
                <w14:ligatures w14:val="none"/>
              </w:rPr>
              <w:br/>
              <w:t>(17%)</w:t>
            </w:r>
          </w:p>
        </w:tc>
        <w:tc>
          <w:tcPr>
            <w:tcW w:w="1631" w:type="dxa"/>
            <w:vMerge w:val="restart"/>
            <w:tcBorders>
              <w:top w:val="single" w:sz="4" w:space="0" w:color="auto"/>
              <w:left w:val="single" w:sz="4" w:space="0" w:color="auto"/>
              <w:bottom w:val="single" w:sz="4" w:space="0" w:color="auto"/>
              <w:right w:val="single" w:sz="4" w:space="0" w:color="auto"/>
            </w:tcBorders>
            <w:shd w:val="clear" w:color="000000" w:fill="5F99A1"/>
            <w:vAlign w:val="center"/>
            <w:hideMark/>
          </w:tcPr>
          <w:p w14:paraId="34807AAA" w14:textId="77777777" w:rsidR="00650FA7" w:rsidRPr="000A3E5F" w:rsidRDefault="00650FA7" w:rsidP="00650FA7">
            <w:pPr>
              <w:spacing w:after="0" w:line="240" w:lineRule="auto"/>
              <w:jc w:val="center"/>
              <w:rPr>
                <w:rFonts w:eastAsia="Times New Roman" w:cs="Calibri"/>
                <w:b/>
                <w:bCs/>
                <w:color w:val="000000"/>
                <w:kern w:val="0"/>
                <w:sz w:val="22"/>
                <w:szCs w:val="22"/>
                <w:lang w:eastAsia="en-AU"/>
                <w14:ligatures w14:val="none"/>
              </w:rPr>
            </w:pPr>
            <w:r w:rsidRPr="000A3E5F">
              <w:rPr>
                <w:rFonts w:eastAsia="Times New Roman" w:cs="Calibri"/>
                <w:b/>
                <w:bCs/>
                <w:color w:val="000000"/>
                <w:kern w:val="0"/>
                <w:sz w:val="22"/>
                <w:szCs w:val="22"/>
                <w:lang w:eastAsia="en-AU"/>
                <w14:ligatures w14:val="none"/>
              </w:rPr>
              <w:t>Not Addressed</w:t>
            </w:r>
            <w:r w:rsidRPr="000A3E5F">
              <w:rPr>
                <w:rFonts w:eastAsia="Times New Roman" w:cs="Calibri"/>
                <w:b/>
                <w:bCs/>
                <w:color w:val="000000"/>
                <w:kern w:val="0"/>
                <w:sz w:val="22"/>
                <w:szCs w:val="22"/>
                <w:lang w:eastAsia="en-AU"/>
                <w14:ligatures w14:val="none"/>
              </w:rPr>
              <w:br/>
              <w:t>(0%)</w:t>
            </w:r>
          </w:p>
        </w:tc>
      </w:tr>
      <w:tr w:rsidR="00650FA7" w:rsidRPr="00650FA7" w14:paraId="5CF7436A" w14:textId="77777777" w:rsidTr="00650FA7">
        <w:trPr>
          <w:trHeight w:val="406"/>
        </w:trPr>
        <w:tc>
          <w:tcPr>
            <w:tcW w:w="1696" w:type="dxa"/>
            <w:vMerge/>
            <w:tcBorders>
              <w:top w:val="single" w:sz="4" w:space="0" w:color="auto"/>
              <w:left w:val="single" w:sz="4" w:space="0" w:color="auto"/>
              <w:bottom w:val="single" w:sz="4" w:space="0" w:color="auto"/>
              <w:right w:val="single" w:sz="4" w:space="0" w:color="auto"/>
            </w:tcBorders>
            <w:vAlign w:val="center"/>
            <w:hideMark/>
          </w:tcPr>
          <w:p w14:paraId="40485C48"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724" w:type="dxa"/>
            <w:vMerge/>
            <w:tcBorders>
              <w:top w:val="single" w:sz="4" w:space="0" w:color="auto"/>
              <w:left w:val="single" w:sz="4" w:space="0" w:color="auto"/>
              <w:bottom w:val="single" w:sz="4" w:space="0" w:color="auto"/>
              <w:right w:val="single" w:sz="4" w:space="0" w:color="auto"/>
            </w:tcBorders>
            <w:vAlign w:val="center"/>
            <w:hideMark/>
          </w:tcPr>
          <w:p w14:paraId="33090F2C"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667" w:type="dxa"/>
            <w:vMerge/>
            <w:tcBorders>
              <w:top w:val="single" w:sz="4" w:space="0" w:color="auto"/>
              <w:left w:val="single" w:sz="4" w:space="0" w:color="auto"/>
              <w:bottom w:val="single" w:sz="4" w:space="0" w:color="auto"/>
              <w:right w:val="single" w:sz="4" w:space="0" w:color="auto"/>
            </w:tcBorders>
            <w:vAlign w:val="center"/>
            <w:hideMark/>
          </w:tcPr>
          <w:p w14:paraId="7D97DCBA"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667" w:type="dxa"/>
            <w:vMerge/>
            <w:tcBorders>
              <w:top w:val="single" w:sz="4" w:space="0" w:color="auto"/>
              <w:left w:val="single" w:sz="4" w:space="0" w:color="auto"/>
              <w:bottom w:val="single" w:sz="4" w:space="0" w:color="auto"/>
              <w:right w:val="single" w:sz="4" w:space="0" w:color="auto"/>
            </w:tcBorders>
            <w:vAlign w:val="center"/>
            <w:hideMark/>
          </w:tcPr>
          <w:p w14:paraId="45FBD24B"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236" w:type="dxa"/>
            <w:vMerge/>
            <w:tcBorders>
              <w:top w:val="single" w:sz="4" w:space="0" w:color="auto"/>
              <w:left w:val="single" w:sz="4" w:space="0" w:color="auto"/>
              <w:bottom w:val="single" w:sz="4" w:space="0" w:color="auto"/>
              <w:right w:val="single" w:sz="4" w:space="0" w:color="auto"/>
            </w:tcBorders>
            <w:vAlign w:val="center"/>
            <w:hideMark/>
          </w:tcPr>
          <w:p w14:paraId="68BF517F"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3212" w:type="dxa"/>
            <w:vMerge/>
            <w:tcBorders>
              <w:top w:val="single" w:sz="4" w:space="0" w:color="auto"/>
              <w:left w:val="single" w:sz="4" w:space="0" w:color="auto"/>
              <w:bottom w:val="single" w:sz="4" w:space="0" w:color="auto"/>
              <w:right w:val="single" w:sz="4" w:space="0" w:color="auto"/>
            </w:tcBorders>
            <w:vAlign w:val="center"/>
            <w:hideMark/>
          </w:tcPr>
          <w:p w14:paraId="0EA67591"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667" w:type="dxa"/>
            <w:vMerge/>
            <w:tcBorders>
              <w:top w:val="single" w:sz="4" w:space="0" w:color="auto"/>
              <w:left w:val="single" w:sz="4" w:space="0" w:color="auto"/>
              <w:bottom w:val="single" w:sz="4" w:space="0" w:color="auto"/>
              <w:right w:val="single" w:sz="4" w:space="0" w:color="auto"/>
            </w:tcBorders>
            <w:vAlign w:val="center"/>
            <w:hideMark/>
          </w:tcPr>
          <w:p w14:paraId="22F8FBE4"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667" w:type="dxa"/>
            <w:vMerge/>
            <w:tcBorders>
              <w:top w:val="single" w:sz="4" w:space="0" w:color="auto"/>
              <w:left w:val="single" w:sz="4" w:space="0" w:color="auto"/>
              <w:bottom w:val="single" w:sz="4" w:space="0" w:color="auto"/>
              <w:right w:val="single" w:sz="4" w:space="0" w:color="auto"/>
            </w:tcBorders>
            <w:vAlign w:val="center"/>
            <w:hideMark/>
          </w:tcPr>
          <w:p w14:paraId="44E426DB"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1631" w:type="dxa"/>
            <w:vMerge/>
            <w:tcBorders>
              <w:top w:val="single" w:sz="4" w:space="0" w:color="auto"/>
              <w:left w:val="single" w:sz="4" w:space="0" w:color="auto"/>
              <w:bottom w:val="single" w:sz="4" w:space="0" w:color="auto"/>
              <w:right w:val="single" w:sz="4" w:space="0" w:color="auto"/>
            </w:tcBorders>
            <w:vAlign w:val="center"/>
            <w:hideMark/>
          </w:tcPr>
          <w:p w14:paraId="7FB36EE7" w14:textId="77777777" w:rsidR="00650FA7" w:rsidRPr="000A3E5F" w:rsidRDefault="00650FA7" w:rsidP="00650FA7">
            <w:pPr>
              <w:spacing w:after="0" w:line="240" w:lineRule="auto"/>
              <w:rPr>
                <w:rFonts w:eastAsia="Times New Roman" w:cs="Calibri"/>
                <w:b/>
                <w:bCs/>
                <w:color w:val="000000"/>
                <w:kern w:val="0"/>
                <w:sz w:val="22"/>
                <w:szCs w:val="22"/>
                <w:lang w:eastAsia="en-AU"/>
                <w14:ligatures w14:val="none"/>
              </w:rPr>
            </w:pPr>
          </w:p>
        </w:tc>
        <w:tc>
          <w:tcPr>
            <w:tcW w:w="221" w:type="dxa"/>
            <w:tcBorders>
              <w:top w:val="nil"/>
              <w:left w:val="nil"/>
              <w:bottom w:val="nil"/>
              <w:right w:val="nil"/>
            </w:tcBorders>
            <w:noWrap/>
            <w:vAlign w:val="bottom"/>
            <w:hideMark/>
          </w:tcPr>
          <w:p w14:paraId="21B2A1D6" w14:textId="77777777" w:rsidR="00650FA7" w:rsidRPr="00650FA7" w:rsidRDefault="00650FA7" w:rsidP="00650FA7">
            <w:pPr>
              <w:spacing w:after="0" w:line="240" w:lineRule="auto"/>
              <w:jc w:val="center"/>
              <w:rPr>
                <w:rFonts w:ascii="Calibri" w:eastAsia="Times New Roman" w:hAnsi="Calibri" w:cs="Calibri"/>
                <w:b/>
                <w:bCs/>
                <w:color w:val="000000"/>
                <w:kern w:val="0"/>
                <w:sz w:val="28"/>
                <w:szCs w:val="28"/>
                <w:lang w:eastAsia="en-AU"/>
                <w14:ligatures w14:val="none"/>
              </w:rPr>
            </w:pPr>
          </w:p>
        </w:tc>
      </w:tr>
      <w:tr w:rsidR="00650FA7" w:rsidRPr="00650FA7" w14:paraId="7DC72284" w14:textId="77777777" w:rsidTr="00650FA7">
        <w:trPr>
          <w:trHeight w:val="3873"/>
        </w:trPr>
        <w:tc>
          <w:tcPr>
            <w:tcW w:w="1696" w:type="dxa"/>
            <w:tcBorders>
              <w:top w:val="nil"/>
              <w:left w:val="single" w:sz="4" w:space="0" w:color="auto"/>
              <w:bottom w:val="single" w:sz="4" w:space="0" w:color="auto"/>
              <w:right w:val="single" w:sz="4" w:space="0" w:color="auto"/>
            </w:tcBorders>
            <w:vAlign w:val="center"/>
            <w:hideMark/>
          </w:tcPr>
          <w:p w14:paraId="14E22DF3" w14:textId="77777777" w:rsidR="00650FA7" w:rsidRPr="000A3E5F" w:rsidRDefault="00650FA7" w:rsidP="00650FA7">
            <w:pPr>
              <w:spacing w:after="0" w:line="240" w:lineRule="auto"/>
              <w:jc w:val="center"/>
              <w:rPr>
                <w:rFonts w:eastAsia="Times New Roman" w:cs="Calibri"/>
                <w:b/>
                <w:bCs/>
                <w:color w:val="002060"/>
                <w:kern w:val="0"/>
                <w:sz w:val="22"/>
                <w:szCs w:val="22"/>
                <w:lang w:eastAsia="en-AU"/>
                <w14:ligatures w14:val="none"/>
              </w:rPr>
            </w:pPr>
            <w:r w:rsidRPr="000A3E5F">
              <w:rPr>
                <w:rFonts w:eastAsia="Times New Roman" w:cs="Calibri"/>
                <w:b/>
                <w:bCs/>
                <w:color w:val="002060"/>
                <w:kern w:val="0"/>
                <w:sz w:val="22"/>
                <w:szCs w:val="22"/>
                <w:lang w:eastAsia="en-AU"/>
                <w14:ligatures w14:val="none"/>
              </w:rPr>
              <w:t>Clarity and depth of reflection (25%)</w:t>
            </w:r>
          </w:p>
        </w:tc>
        <w:tc>
          <w:tcPr>
            <w:tcW w:w="1724" w:type="dxa"/>
            <w:tcBorders>
              <w:top w:val="nil"/>
              <w:left w:val="nil"/>
              <w:bottom w:val="single" w:sz="4" w:space="0" w:color="auto"/>
              <w:right w:val="single" w:sz="4" w:space="0" w:color="auto"/>
            </w:tcBorders>
            <w:vAlign w:val="center"/>
            <w:hideMark/>
          </w:tcPr>
          <w:p w14:paraId="44098118"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Exceptional clarity and profound depth in reflecting, demonstrating a sophisticated understanding and insightful analysis of the Illness-Wellness Continuum.</w:t>
            </w:r>
          </w:p>
        </w:tc>
        <w:tc>
          <w:tcPr>
            <w:tcW w:w="1667" w:type="dxa"/>
            <w:tcBorders>
              <w:top w:val="nil"/>
              <w:left w:val="nil"/>
              <w:bottom w:val="single" w:sz="4" w:space="0" w:color="auto"/>
              <w:right w:val="single" w:sz="4" w:space="0" w:color="auto"/>
            </w:tcBorders>
            <w:vAlign w:val="center"/>
            <w:hideMark/>
          </w:tcPr>
          <w:p w14:paraId="3BAA49F0"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Excellent clarity and depth of reflection showcase a strong understanding and analysis of the Illness-Wellness Continuum.</w:t>
            </w:r>
          </w:p>
        </w:tc>
        <w:tc>
          <w:tcPr>
            <w:tcW w:w="1667" w:type="dxa"/>
            <w:tcBorders>
              <w:top w:val="nil"/>
              <w:left w:val="nil"/>
              <w:bottom w:val="single" w:sz="4" w:space="0" w:color="auto"/>
              <w:right w:val="single" w:sz="4" w:space="0" w:color="auto"/>
            </w:tcBorders>
            <w:vAlign w:val="center"/>
            <w:hideMark/>
          </w:tcPr>
          <w:p w14:paraId="0EE35C53"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Clear and in-depth reflection, indicating a solid understanding and thoughtful examination of the Illness-Wellness Continuum.</w:t>
            </w:r>
          </w:p>
        </w:tc>
        <w:tc>
          <w:tcPr>
            <w:tcW w:w="236" w:type="dxa"/>
            <w:tcBorders>
              <w:top w:val="nil"/>
              <w:left w:val="nil"/>
              <w:bottom w:val="single" w:sz="4" w:space="0" w:color="auto"/>
              <w:right w:val="single" w:sz="4" w:space="0" w:color="auto"/>
            </w:tcBorders>
            <w:vAlign w:val="center"/>
            <w:hideMark/>
          </w:tcPr>
          <w:p w14:paraId="4359915A"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Generally clear and sufficiently deep reflection, showing a good understanding and analysis of the Illness-Wellness Continuum.</w:t>
            </w:r>
          </w:p>
        </w:tc>
        <w:tc>
          <w:tcPr>
            <w:tcW w:w="3212" w:type="dxa"/>
            <w:tcBorders>
              <w:top w:val="nil"/>
              <w:left w:val="nil"/>
              <w:bottom w:val="single" w:sz="4" w:space="0" w:color="auto"/>
              <w:right w:val="single" w:sz="4" w:space="0" w:color="auto"/>
            </w:tcBorders>
            <w:vAlign w:val="center"/>
            <w:hideMark/>
          </w:tcPr>
          <w:p w14:paraId="5E2A022F"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Adequate clarity and depth in reflection, with a satisfactory understanding and basic analysis of the Illness-Wellness Continuum.</w:t>
            </w:r>
          </w:p>
        </w:tc>
        <w:tc>
          <w:tcPr>
            <w:tcW w:w="1667" w:type="dxa"/>
            <w:tcBorders>
              <w:top w:val="nil"/>
              <w:left w:val="nil"/>
              <w:bottom w:val="single" w:sz="4" w:space="0" w:color="auto"/>
              <w:right w:val="single" w:sz="4" w:space="0" w:color="auto"/>
            </w:tcBorders>
            <w:vAlign w:val="center"/>
            <w:hideMark/>
          </w:tcPr>
          <w:p w14:paraId="0CA2B2C6"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Limited clarity and depth, with some understanding evident but lacking in-depth analysis of the Illness-Wellness Continuum.</w:t>
            </w:r>
          </w:p>
        </w:tc>
        <w:tc>
          <w:tcPr>
            <w:tcW w:w="1667" w:type="dxa"/>
            <w:tcBorders>
              <w:top w:val="nil"/>
              <w:left w:val="nil"/>
              <w:bottom w:val="single" w:sz="4" w:space="0" w:color="auto"/>
              <w:right w:val="single" w:sz="4" w:space="0" w:color="auto"/>
            </w:tcBorders>
            <w:vAlign w:val="center"/>
            <w:hideMark/>
          </w:tcPr>
          <w:p w14:paraId="58B10668"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Inadequate clarity and depth, reflecting a poor understanding and minimal analysis of the Illness-Wellness Continuum.</w:t>
            </w:r>
          </w:p>
        </w:tc>
        <w:tc>
          <w:tcPr>
            <w:tcW w:w="1631" w:type="dxa"/>
            <w:tcBorders>
              <w:top w:val="nil"/>
              <w:left w:val="nil"/>
              <w:bottom w:val="single" w:sz="4" w:space="0" w:color="auto"/>
              <w:right w:val="single" w:sz="4" w:space="0" w:color="auto"/>
            </w:tcBorders>
            <w:vAlign w:val="center"/>
            <w:hideMark/>
          </w:tcPr>
          <w:p w14:paraId="1A4FB1A1"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No attempt made to address the criterion.</w:t>
            </w:r>
          </w:p>
        </w:tc>
        <w:tc>
          <w:tcPr>
            <w:tcW w:w="221" w:type="dxa"/>
            <w:vAlign w:val="center"/>
            <w:hideMark/>
          </w:tcPr>
          <w:p w14:paraId="7E5E2BE6" w14:textId="77777777" w:rsidR="00650FA7" w:rsidRPr="00650FA7" w:rsidRDefault="00650FA7" w:rsidP="00650FA7">
            <w:pPr>
              <w:spacing w:after="0" w:line="240" w:lineRule="auto"/>
              <w:rPr>
                <w:rFonts w:ascii="Times New Roman" w:eastAsia="Times New Roman" w:hAnsi="Times New Roman" w:cs="Times New Roman"/>
                <w:kern w:val="0"/>
                <w:sz w:val="20"/>
                <w:szCs w:val="20"/>
                <w:lang w:eastAsia="en-AU"/>
                <w14:ligatures w14:val="none"/>
              </w:rPr>
            </w:pPr>
          </w:p>
        </w:tc>
      </w:tr>
      <w:tr w:rsidR="00650FA7" w:rsidRPr="00650FA7" w14:paraId="375BF1CB" w14:textId="77777777" w:rsidTr="00650FA7">
        <w:trPr>
          <w:trHeight w:val="5384"/>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B842DD8" w14:textId="77777777" w:rsidR="00650FA7" w:rsidRPr="000A3E5F" w:rsidRDefault="00650FA7" w:rsidP="00650FA7">
            <w:pPr>
              <w:spacing w:after="0" w:line="240" w:lineRule="auto"/>
              <w:jc w:val="center"/>
              <w:rPr>
                <w:rFonts w:eastAsia="Times New Roman" w:cs="Calibri"/>
                <w:b/>
                <w:bCs/>
                <w:color w:val="002060"/>
                <w:kern w:val="0"/>
                <w:sz w:val="22"/>
                <w:szCs w:val="22"/>
                <w:lang w:eastAsia="en-AU"/>
                <w14:ligatures w14:val="none"/>
              </w:rPr>
            </w:pPr>
            <w:r w:rsidRPr="000A3E5F">
              <w:rPr>
                <w:rFonts w:eastAsia="Times New Roman" w:cs="Calibri"/>
                <w:b/>
                <w:bCs/>
                <w:color w:val="002060"/>
                <w:kern w:val="0"/>
                <w:sz w:val="22"/>
                <w:szCs w:val="22"/>
                <w:lang w:eastAsia="en-AU"/>
                <w14:ligatures w14:val="none"/>
              </w:rPr>
              <w:lastRenderedPageBreak/>
              <w:t>Comprehensive coverage of the Illness-Wellness Continuum from the neonatal period to adolescence. Give two examples, each in a different age group. (20%)</w:t>
            </w:r>
          </w:p>
        </w:tc>
        <w:tc>
          <w:tcPr>
            <w:tcW w:w="1724" w:type="dxa"/>
            <w:tcBorders>
              <w:top w:val="nil"/>
              <w:left w:val="nil"/>
              <w:bottom w:val="single" w:sz="4" w:space="0" w:color="auto"/>
              <w:right w:val="single" w:sz="4" w:space="0" w:color="auto"/>
            </w:tcBorders>
            <w:vAlign w:val="center"/>
            <w:hideMark/>
          </w:tcPr>
          <w:p w14:paraId="78DF961A"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Thorough and exhaustive coverage of two examples of the Illness-Wellness Continuum concepts, demonstrating a deep understanding of the topic and incorporating advanced insights and perspectives from the neonatal period to adolescence.</w:t>
            </w:r>
          </w:p>
        </w:tc>
        <w:tc>
          <w:tcPr>
            <w:tcW w:w="1667" w:type="dxa"/>
            <w:tcBorders>
              <w:top w:val="nil"/>
              <w:left w:val="nil"/>
              <w:bottom w:val="single" w:sz="4" w:space="0" w:color="auto"/>
              <w:right w:val="single" w:sz="4" w:space="0" w:color="auto"/>
            </w:tcBorders>
            <w:vAlign w:val="center"/>
            <w:hideMark/>
          </w:tcPr>
          <w:p w14:paraId="348E4D18"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Comprehensive coverage of two examples with a strong grasp of the Illness-Wellness Continuum's key concepts, offering detailed insights and analysis across the neonatal period to adolescence.</w:t>
            </w:r>
          </w:p>
        </w:tc>
        <w:tc>
          <w:tcPr>
            <w:tcW w:w="1667" w:type="dxa"/>
            <w:tcBorders>
              <w:top w:val="nil"/>
              <w:left w:val="nil"/>
              <w:bottom w:val="single" w:sz="4" w:space="0" w:color="auto"/>
              <w:right w:val="single" w:sz="4" w:space="0" w:color="auto"/>
            </w:tcBorders>
            <w:vAlign w:val="center"/>
            <w:hideMark/>
          </w:tcPr>
          <w:p w14:paraId="5230700D"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Substantial coverage of two examples of the Illness-Wellness Continuum concepts, showcasing a solid understanding and application of key principles from the neonatal period to adolescence.</w:t>
            </w:r>
          </w:p>
        </w:tc>
        <w:tc>
          <w:tcPr>
            <w:tcW w:w="236" w:type="dxa"/>
            <w:tcBorders>
              <w:top w:val="nil"/>
              <w:left w:val="nil"/>
              <w:bottom w:val="single" w:sz="4" w:space="0" w:color="auto"/>
              <w:right w:val="single" w:sz="4" w:space="0" w:color="auto"/>
            </w:tcBorders>
            <w:vAlign w:val="center"/>
            <w:hideMark/>
          </w:tcPr>
          <w:p w14:paraId="274796DD"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Adequate coverage of two examples of the Illness-Wellness Continuum concepts, addressing the core elements with clarity and satisfactory detail from the neonatal period to adolescence.</w:t>
            </w:r>
          </w:p>
        </w:tc>
        <w:tc>
          <w:tcPr>
            <w:tcW w:w="3212" w:type="dxa"/>
            <w:tcBorders>
              <w:top w:val="nil"/>
              <w:left w:val="nil"/>
              <w:bottom w:val="single" w:sz="4" w:space="0" w:color="auto"/>
              <w:right w:val="single" w:sz="4" w:space="0" w:color="auto"/>
            </w:tcBorders>
            <w:vAlign w:val="center"/>
            <w:hideMark/>
          </w:tcPr>
          <w:p w14:paraId="00736498"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Basic coverage of two examples of the Illness-Wellness Continuum concepts, demonstrating a sufficient understanding of fundamental aspects without delving deeply into nuanced elements, spanning the neonatal period to adolescence.</w:t>
            </w:r>
          </w:p>
        </w:tc>
        <w:tc>
          <w:tcPr>
            <w:tcW w:w="1667" w:type="dxa"/>
            <w:tcBorders>
              <w:top w:val="nil"/>
              <w:left w:val="nil"/>
              <w:bottom w:val="single" w:sz="4" w:space="0" w:color="auto"/>
              <w:right w:val="single" w:sz="4" w:space="0" w:color="auto"/>
            </w:tcBorders>
            <w:vAlign w:val="center"/>
            <w:hideMark/>
          </w:tcPr>
          <w:p w14:paraId="65E6D98F"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Limited coverage of the Illness-Wellness Continuum concepts, with notable gaps in understanding or incomplete exploration of key principles from the neonatal period to adolescence.</w:t>
            </w:r>
          </w:p>
        </w:tc>
        <w:tc>
          <w:tcPr>
            <w:tcW w:w="1667" w:type="dxa"/>
            <w:tcBorders>
              <w:top w:val="nil"/>
              <w:left w:val="nil"/>
              <w:bottom w:val="single" w:sz="4" w:space="0" w:color="auto"/>
              <w:right w:val="single" w:sz="4" w:space="0" w:color="auto"/>
            </w:tcBorders>
            <w:vAlign w:val="center"/>
            <w:hideMark/>
          </w:tcPr>
          <w:p w14:paraId="64352195"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Minimal coverage and understanding of the Illness-Wellness Continuum concepts, lacking depth and coherence in addressing essential elements from the neonatal period to adolescence.</w:t>
            </w:r>
          </w:p>
        </w:tc>
        <w:tc>
          <w:tcPr>
            <w:tcW w:w="1631" w:type="dxa"/>
            <w:tcBorders>
              <w:top w:val="nil"/>
              <w:left w:val="nil"/>
              <w:bottom w:val="single" w:sz="4" w:space="0" w:color="auto"/>
              <w:right w:val="single" w:sz="4" w:space="0" w:color="auto"/>
            </w:tcBorders>
            <w:vAlign w:val="center"/>
            <w:hideMark/>
          </w:tcPr>
          <w:p w14:paraId="6556463D"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No attempt made to cover or address the Illness-Wellness Continuum concepts from the neonatal period to adolescence.</w:t>
            </w:r>
          </w:p>
        </w:tc>
        <w:tc>
          <w:tcPr>
            <w:tcW w:w="221" w:type="dxa"/>
            <w:vAlign w:val="center"/>
            <w:hideMark/>
          </w:tcPr>
          <w:p w14:paraId="39D18EB1" w14:textId="77777777" w:rsidR="00650FA7" w:rsidRPr="00650FA7" w:rsidRDefault="00650FA7" w:rsidP="00650FA7">
            <w:pPr>
              <w:spacing w:after="0" w:line="240" w:lineRule="auto"/>
              <w:rPr>
                <w:rFonts w:ascii="Times New Roman" w:eastAsia="Times New Roman" w:hAnsi="Times New Roman" w:cs="Times New Roman"/>
                <w:kern w:val="0"/>
                <w:sz w:val="20"/>
                <w:szCs w:val="20"/>
                <w:lang w:eastAsia="en-AU"/>
                <w14:ligatures w14:val="none"/>
              </w:rPr>
            </w:pPr>
          </w:p>
        </w:tc>
      </w:tr>
      <w:tr w:rsidR="00650FA7" w:rsidRPr="00650FA7" w14:paraId="0D158690" w14:textId="77777777" w:rsidTr="00650FA7">
        <w:trPr>
          <w:trHeight w:val="5248"/>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5D57DC40" w14:textId="77777777" w:rsidR="00650FA7" w:rsidRPr="000A3E5F" w:rsidRDefault="00650FA7" w:rsidP="00650FA7">
            <w:pPr>
              <w:spacing w:after="0" w:line="240" w:lineRule="auto"/>
              <w:jc w:val="center"/>
              <w:rPr>
                <w:rFonts w:eastAsia="Times New Roman" w:cs="Calibri"/>
                <w:b/>
                <w:bCs/>
                <w:color w:val="002060"/>
                <w:kern w:val="0"/>
                <w:sz w:val="22"/>
                <w:szCs w:val="22"/>
                <w:lang w:eastAsia="en-AU"/>
                <w14:ligatures w14:val="none"/>
              </w:rPr>
            </w:pPr>
            <w:r w:rsidRPr="000A3E5F">
              <w:rPr>
                <w:rFonts w:eastAsia="Times New Roman" w:cs="Calibri"/>
                <w:b/>
                <w:bCs/>
                <w:color w:val="002060"/>
                <w:kern w:val="0"/>
                <w:sz w:val="22"/>
                <w:szCs w:val="22"/>
                <w:lang w:eastAsia="en-AU"/>
                <w14:ligatures w14:val="none"/>
              </w:rPr>
              <w:lastRenderedPageBreak/>
              <w:t>Application of the continuum to diverse health consumer narratives (25 %)</w:t>
            </w:r>
          </w:p>
        </w:tc>
        <w:tc>
          <w:tcPr>
            <w:tcW w:w="1724" w:type="dxa"/>
            <w:tcBorders>
              <w:top w:val="nil"/>
              <w:left w:val="nil"/>
              <w:bottom w:val="single" w:sz="4" w:space="0" w:color="auto"/>
              <w:right w:val="single" w:sz="4" w:space="0" w:color="auto"/>
            </w:tcBorders>
            <w:vAlign w:val="center"/>
            <w:hideMark/>
          </w:tcPr>
          <w:p w14:paraId="0EA9657C"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Exceptional application of the Illness-Wellness Continuum to a wide range of health consumer narratives demonstrates a profound understanding of diverse perspectives and provides insightful connections beyond expectations.</w:t>
            </w:r>
          </w:p>
        </w:tc>
        <w:tc>
          <w:tcPr>
            <w:tcW w:w="1667" w:type="dxa"/>
            <w:tcBorders>
              <w:top w:val="nil"/>
              <w:left w:val="nil"/>
              <w:bottom w:val="single" w:sz="4" w:space="0" w:color="auto"/>
              <w:right w:val="single" w:sz="4" w:space="0" w:color="auto"/>
            </w:tcBorders>
            <w:vAlign w:val="center"/>
            <w:hideMark/>
          </w:tcPr>
          <w:p w14:paraId="13A6FE8C"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Excellent application of the continuum to diverse health consumer narratives, displaying a strong ability to connect concepts to various contexts and offering insightful analyses that enhance the understanding of different experiences.</w:t>
            </w:r>
          </w:p>
        </w:tc>
        <w:tc>
          <w:tcPr>
            <w:tcW w:w="1667" w:type="dxa"/>
            <w:tcBorders>
              <w:top w:val="nil"/>
              <w:left w:val="nil"/>
              <w:bottom w:val="single" w:sz="4" w:space="0" w:color="auto"/>
              <w:right w:val="single" w:sz="4" w:space="0" w:color="auto"/>
            </w:tcBorders>
            <w:vAlign w:val="center"/>
            <w:hideMark/>
          </w:tcPr>
          <w:p w14:paraId="087FF2B1"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Very good application of the Illness-Wellness Continuum to diverse health consumer narratives, showing a solid ability to relate key concepts to different scenarios and providing thoughtful analyses.</w:t>
            </w:r>
          </w:p>
        </w:tc>
        <w:tc>
          <w:tcPr>
            <w:tcW w:w="236" w:type="dxa"/>
            <w:tcBorders>
              <w:top w:val="nil"/>
              <w:left w:val="nil"/>
              <w:bottom w:val="single" w:sz="4" w:space="0" w:color="auto"/>
              <w:right w:val="single" w:sz="4" w:space="0" w:color="auto"/>
            </w:tcBorders>
            <w:vAlign w:val="center"/>
            <w:hideMark/>
          </w:tcPr>
          <w:p w14:paraId="2F8E1BC3"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Adequate application of the continuum to diverse health consumer narratives, demonstrating a basic ability to connect concepts to different contexts with clarity and coherence.</w:t>
            </w:r>
          </w:p>
        </w:tc>
        <w:tc>
          <w:tcPr>
            <w:tcW w:w="3212" w:type="dxa"/>
            <w:tcBorders>
              <w:top w:val="nil"/>
              <w:left w:val="nil"/>
              <w:bottom w:val="single" w:sz="4" w:space="0" w:color="auto"/>
              <w:right w:val="single" w:sz="4" w:space="0" w:color="auto"/>
            </w:tcBorders>
            <w:vAlign w:val="center"/>
            <w:hideMark/>
          </w:tcPr>
          <w:p w14:paraId="79CBC8CD"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Satisfactory application of the Illness-Wellness Continuum to health consumer narratives, with a basic ability to connect concepts to diverse scenarios, though lacking in-depth exploration.</w:t>
            </w:r>
          </w:p>
        </w:tc>
        <w:tc>
          <w:tcPr>
            <w:tcW w:w="1667" w:type="dxa"/>
            <w:tcBorders>
              <w:top w:val="nil"/>
              <w:left w:val="nil"/>
              <w:bottom w:val="single" w:sz="4" w:space="0" w:color="auto"/>
              <w:right w:val="single" w:sz="4" w:space="0" w:color="auto"/>
            </w:tcBorders>
            <w:vAlign w:val="center"/>
            <w:hideMark/>
          </w:tcPr>
          <w:p w14:paraId="19E34CD2"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Limited application of the continuum to health consumer narratives, with notable gaps in understanding or incomplete connections to diverse experiences.</w:t>
            </w:r>
          </w:p>
        </w:tc>
        <w:tc>
          <w:tcPr>
            <w:tcW w:w="1667" w:type="dxa"/>
            <w:tcBorders>
              <w:top w:val="nil"/>
              <w:left w:val="nil"/>
              <w:bottom w:val="single" w:sz="4" w:space="0" w:color="auto"/>
              <w:right w:val="single" w:sz="4" w:space="0" w:color="auto"/>
            </w:tcBorders>
            <w:vAlign w:val="center"/>
            <w:hideMark/>
          </w:tcPr>
          <w:p w14:paraId="4006E0F1"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Minimal application of the Illness-Wellness Continuum to diverse health consumer narratives, lacking depth and coherence in relating key concepts to different scenarios.</w:t>
            </w:r>
          </w:p>
        </w:tc>
        <w:tc>
          <w:tcPr>
            <w:tcW w:w="1631" w:type="dxa"/>
            <w:tcBorders>
              <w:top w:val="nil"/>
              <w:left w:val="nil"/>
              <w:bottom w:val="single" w:sz="4" w:space="0" w:color="auto"/>
              <w:right w:val="single" w:sz="4" w:space="0" w:color="auto"/>
            </w:tcBorders>
            <w:vAlign w:val="center"/>
            <w:hideMark/>
          </w:tcPr>
          <w:p w14:paraId="62F0506B"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No attempt made to apply the continuum to diverse health consumer narratives.</w:t>
            </w:r>
          </w:p>
        </w:tc>
        <w:tc>
          <w:tcPr>
            <w:tcW w:w="221" w:type="dxa"/>
            <w:vAlign w:val="center"/>
            <w:hideMark/>
          </w:tcPr>
          <w:p w14:paraId="384A1507" w14:textId="77777777" w:rsidR="00650FA7" w:rsidRPr="00650FA7" w:rsidRDefault="00650FA7" w:rsidP="00650FA7">
            <w:pPr>
              <w:spacing w:after="0" w:line="240" w:lineRule="auto"/>
              <w:rPr>
                <w:rFonts w:ascii="Times New Roman" w:eastAsia="Times New Roman" w:hAnsi="Times New Roman" w:cs="Times New Roman"/>
                <w:kern w:val="0"/>
                <w:sz w:val="20"/>
                <w:szCs w:val="20"/>
                <w:lang w:eastAsia="en-AU"/>
                <w14:ligatures w14:val="none"/>
              </w:rPr>
            </w:pPr>
          </w:p>
        </w:tc>
      </w:tr>
      <w:tr w:rsidR="00650FA7" w:rsidRPr="00650FA7" w14:paraId="1D328F02" w14:textId="77777777" w:rsidTr="00650FA7">
        <w:trPr>
          <w:trHeight w:val="5326"/>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0DD7EDB3" w14:textId="77777777" w:rsidR="00650FA7" w:rsidRPr="000A3E5F" w:rsidRDefault="00650FA7" w:rsidP="00650FA7">
            <w:pPr>
              <w:spacing w:after="0" w:line="240" w:lineRule="auto"/>
              <w:jc w:val="center"/>
              <w:rPr>
                <w:rFonts w:eastAsia="Times New Roman" w:cs="Calibri"/>
                <w:b/>
                <w:bCs/>
                <w:color w:val="002060"/>
                <w:kern w:val="0"/>
                <w:sz w:val="22"/>
                <w:szCs w:val="22"/>
                <w:lang w:eastAsia="en-AU"/>
                <w14:ligatures w14:val="none"/>
              </w:rPr>
            </w:pPr>
            <w:r w:rsidRPr="000A3E5F">
              <w:rPr>
                <w:rFonts w:eastAsia="Times New Roman" w:cs="Calibri"/>
                <w:b/>
                <w:bCs/>
                <w:color w:val="002060"/>
                <w:kern w:val="0"/>
                <w:sz w:val="22"/>
                <w:szCs w:val="22"/>
                <w:lang w:eastAsia="en-AU"/>
                <w14:ligatures w14:val="none"/>
              </w:rPr>
              <w:lastRenderedPageBreak/>
              <w:t>Consideration of cultural responsiveness and respect (15%)</w:t>
            </w:r>
          </w:p>
        </w:tc>
        <w:tc>
          <w:tcPr>
            <w:tcW w:w="1724" w:type="dxa"/>
            <w:tcBorders>
              <w:top w:val="nil"/>
              <w:left w:val="nil"/>
              <w:bottom w:val="single" w:sz="4" w:space="0" w:color="auto"/>
              <w:right w:val="single" w:sz="4" w:space="0" w:color="auto"/>
            </w:tcBorders>
            <w:vAlign w:val="center"/>
            <w:hideMark/>
          </w:tcPr>
          <w:p w14:paraId="2FC6A606"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Exceptional consideration of cultural responsiveness and respect, demonstrating a profound understanding of diverse cultural nuances and incorporating them seamlessly into the analysis with a high level of sensitivity and insight.</w:t>
            </w:r>
          </w:p>
        </w:tc>
        <w:tc>
          <w:tcPr>
            <w:tcW w:w="1667" w:type="dxa"/>
            <w:tcBorders>
              <w:top w:val="nil"/>
              <w:left w:val="nil"/>
              <w:bottom w:val="single" w:sz="4" w:space="0" w:color="auto"/>
              <w:right w:val="single" w:sz="4" w:space="0" w:color="auto"/>
            </w:tcBorders>
            <w:vAlign w:val="center"/>
            <w:hideMark/>
          </w:tcPr>
          <w:p w14:paraId="72DBFE48"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Excellent consideration of cultural responsiveness and respect, displaying a strong awareness of diverse cultural factors and effectively integrating them into the work.</w:t>
            </w:r>
          </w:p>
        </w:tc>
        <w:tc>
          <w:tcPr>
            <w:tcW w:w="1667" w:type="dxa"/>
            <w:tcBorders>
              <w:top w:val="nil"/>
              <w:left w:val="nil"/>
              <w:bottom w:val="single" w:sz="4" w:space="0" w:color="auto"/>
              <w:right w:val="single" w:sz="4" w:space="0" w:color="auto"/>
            </w:tcBorders>
            <w:vAlign w:val="center"/>
            <w:hideMark/>
          </w:tcPr>
          <w:p w14:paraId="7CB702A5"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Very good consideration of cultural responsiveness and respect, showing a solid understanding of cultural influences and appropriately addressing them in the analysis.</w:t>
            </w:r>
          </w:p>
        </w:tc>
        <w:tc>
          <w:tcPr>
            <w:tcW w:w="236" w:type="dxa"/>
            <w:tcBorders>
              <w:top w:val="nil"/>
              <w:left w:val="nil"/>
              <w:bottom w:val="single" w:sz="4" w:space="0" w:color="auto"/>
              <w:right w:val="single" w:sz="4" w:space="0" w:color="auto"/>
            </w:tcBorders>
            <w:vAlign w:val="center"/>
            <w:hideMark/>
          </w:tcPr>
          <w:p w14:paraId="13ED62C3"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Adequate consideration of cultural responsiveness and respect, demonstrating a basic awareness of cultural factors and incorporating them to a satisfactory extent.</w:t>
            </w:r>
          </w:p>
        </w:tc>
        <w:tc>
          <w:tcPr>
            <w:tcW w:w="3212" w:type="dxa"/>
            <w:tcBorders>
              <w:top w:val="nil"/>
              <w:left w:val="nil"/>
              <w:bottom w:val="single" w:sz="4" w:space="0" w:color="auto"/>
              <w:right w:val="single" w:sz="4" w:space="0" w:color="auto"/>
            </w:tcBorders>
            <w:vAlign w:val="center"/>
            <w:hideMark/>
          </w:tcPr>
          <w:p w14:paraId="14F29F32"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Acceptable consideration of cultural responsiveness and respect, with a basic acknowledgment of cultural factors, although lacking in-depth exploration.</w:t>
            </w:r>
          </w:p>
        </w:tc>
        <w:tc>
          <w:tcPr>
            <w:tcW w:w="1667" w:type="dxa"/>
            <w:tcBorders>
              <w:top w:val="nil"/>
              <w:left w:val="nil"/>
              <w:bottom w:val="single" w:sz="4" w:space="0" w:color="auto"/>
              <w:right w:val="single" w:sz="4" w:space="0" w:color="auto"/>
            </w:tcBorders>
            <w:vAlign w:val="center"/>
            <w:hideMark/>
          </w:tcPr>
          <w:p w14:paraId="3AD1F829"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Limited consideration of cultural responsiveness and respect, with noticeable oversights or insensitivity to cultural factors, requiring improvement.</w:t>
            </w:r>
          </w:p>
        </w:tc>
        <w:tc>
          <w:tcPr>
            <w:tcW w:w="1667" w:type="dxa"/>
            <w:tcBorders>
              <w:top w:val="nil"/>
              <w:left w:val="nil"/>
              <w:bottom w:val="single" w:sz="4" w:space="0" w:color="auto"/>
              <w:right w:val="single" w:sz="4" w:space="0" w:color="auto"/>
            </w:tcBorders>
            <w:vAlign w:val="center"/>
            <w:hideMark/>
          </w:tcPr>
          <w:p w14:paraId="242A232C" w14:textId="77777777" w:rsidR="00650FA7" w:rsidRPr="000A3E5F" w:rsidRDefault="00650FA7" w:rsidP="00650FA7">
            <w:pPr>
              <w:spacing w:after="0" w:line="240" w:lineRule="auto"/>
              <w:jc w:val="center"/>
              <w:rPr>
                <w:rFonts w:eastAsia="Times New Roman" w:cs="Calibri"/>
                <w:color w:val="000000"/>
                <w:kern w:val="0"/>
                <w:sz w:val="22"/>
                <w:szCs w:val="22"/>
                <w:lang w:eastAsia="en-AU"/>
                <w14:ligatures w14:val="none"/>
              </w:rPr>
            </w:pPr>
            <w:r w:rsidRPr="000A3E5F">
              <w:rPr>
                <w:rFonts w:eastAsia="Times New Roman" w:cs="Calibri"/>
                <w:color w:val="000000"/>
                <w:kern w:val="0"/>
                <w:sz w:val="22"/>
                <w:szCs w:val="22"/>
                <w:lang w:eastAsia="en-AU"/>
                <w14:ligatures w14:val="none"/>
              </w:rPr>
              <w:t>Poor consideration of cultural responsiveness and respect, showing a lack of awareness and understanding of cultural nuances, resulting in inadequate or inappropriate integration.</w:t>
            </w:r>
          </w:p>
        </w:tc>
        <w:tc>
          <w:tcPr>
            <w:tcW w:w="1631" w:type="dxa"/>
            <w:tcBorders>
              <w:top w:val="nil"/>
              <w:left w:val="nil"/>
              <w:bottom w:val="single" w:sz="4" w:space="0" w:color="auto"/>
              <w:right w:val="single" w:sz="4" w:space="0" w:color="auto"/>
            </w:tcBorders>
            <w:vAlign w:val="center"/>
            <w:hideMark/>
          </w:tcPr>
          <w:p w14:paraId="7F94267F"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No attempt made to consider or address cultural responsiveness and respect.</w:t>
            </w:r>
          </w:p>
        </w:tc>
        <w:tc>
          <w:tcPr>
            <w:tcW w:w="221" w:type="dxa"/>
            <w:vAlign w:val="center"/>
            <w:hideMark/>
          </w:tcPr>
          <w:p w14:paraId="7195DC55" w14:textId="77777777" w:rsidR="00650FA7" w:rsidRPr="00650FA7" w:rsidRDefault="00650FA7" w:rsidP="00650FA7">
            <w:pPr>
              <w:spacing w:after="0" w:line="240" w:lineRule="auto"/>
              <w:rPr>
                <w:rFonts w:ascii="Times New Roman" w:eastAsia="Times New Roman" w:hAnsi="Times New Roman" w:cs="Times New Roman"/>
                <w:kern w:val="0"/>
                <w:sz w:val="20"/>
                <w:szCs w:val="20"/>
                <w:lang w:eastAsia="en-AU"/>
                <w14:ligatures w14:val="none"/>
              </w:rPr>
            </w:pPr>
          </w:p>
        </w:tc>
      </w:tr>
      <w:tr w:rsidR="00650FA7" w:rsidRPr="00650FA7" w14:paraId="776E4B20" w14:textId="77777777" w:rsidTr="00650FA7">
        <w:trPr>
          <w:trHeight w:val="6294"/>
        </w:trPr>
        <w:tc>
          <w:tcPr>
            <w:tcW w:w="1696" w:type="dxa"/>
            <w:tcBorders>
              <w:top w:val="nil"/>
              <w:left w:val="single" w:sz="4" w:space="0" w:color="auto"/>
              <w:bottom w:val="single" w:sz="4" w:space="0" w:color="auto"/>
              <w:right w:val="single" w:sz="4" w:space="0" w:color="auto"/>
            </w:tcBorders>
            <w:shd w:val="clear" w:color="000000" w:fill="FFFFFF"/>
            <w:vAlign w:val="center"/>
            <w:hideMark/>
          </w:tcPr>
          <w:p w14:paraId="37A50962" w14:textId="77777777" w:rsidR="00650FA7" w:rsidRPr="000A3E5F" w:rsidRDefault="00650FA7" w:rsidP="00650FA7">
            <w:pPr>
              <w:spacing w:after="0" w:line="240" w:lineRule="auto"/>
              <w:jc w:val="center"/>
              <w:rPr>
                <w:rFonts w:eastAsia="Times New Roman" w:cs="Calibri"/>
                <w:b/>
                <w:bCs/>
                <w:color w:val="002060"/>
                <w:kern w:val="0"/>
                <w:sz w:val="22"/>
                <w:szCs w:val="22"/>
                <w:lang w:eastAsia="en-AU"/>
                <w14:ligatures w14:val="none"/>
              </w:rPr>
            </w:pPr>
            <w:r w:rsidRPr="000A3E5F">
              <w:rPr>
                <w:rFonts w:eastAsia="Times New Roman" w:cs="Calibri"/>
                <w:b/>
                <w:bCs/>
                <w:color w:val="002060"/>
                <w:kern w:val="0"/>
                <w:sz w:val="22"/>
                <w:szCs w:val="22"/>
                <w:lang w:eastAsia="en-AU"/>
                <w14:ligatures w14:val="none"/>
              </w:rPr>
              <w:lastRenderedPageBreak/>
              <w:t>Pace, presentation and language of the video (15%)</w:t>
            </w:r>
          </w:p>
        </w:tc>
        <w:tc>
          <w:tcPr>
            <w:tcW w:w="1724" w:type="dxa"/>
            <w:tcBorders>
              <w:top w:val="nil"/>
              <w:left w:val="nil"/>
              <w:bottom w:val="single" w:sz="4" w:space="0" w:color="auto"/>
              <w:right w:val="single" w:sz="4" w:space="0" w:color="auto"/>
            </w:tcBorders>
            <w:vAlign w:val="center"/>
            <w:hideMark/>
          </w:tcPr>
          <w:p w14:paraId="5165BD48"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Exceptional quality and effectiveness in communication, blending outstanding skills in maintaining audience attention, eye contact, and expressive, clear, and fluent speech at a steady pace, showcasing creativity and technical proficiency.</w:t>
            </w:r>
          </w:p>
        </w:tc>
        <w:tc>
          <w:tcPr>
            <w:tcW w:w="1667" w:type="dxa"/>
            <w:tcBorders>
              <w:top w:val="nil"/>
              <w:left w:val="nil"/>
              <w:bottom w:val="single" w:sz="4" w:space="0" w:color="auto"/>
              <w:right w:val="single" w:sz="4" w:space="0" w:color="auto"/>
            </w:tcBorders>
            <w:vAlign w:val="center"/>
            <w:hideMark/>
          </w:tcPr>
          <w:p w14:paraId="471B5457"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Excellent quality and effectiveness by incorporating highly engaging and well-executed presentation elements. Maintains audience attention through consistent eye contact, delivering clear and fluent speech at a steady pace.</w:t>
            </w:r>
          </w:p>
        </w:tc>
        <w:tc>
          <w:tcPr>
            <w:tcW w:w="1667" w:type="dxa"/>
            <w:tcBorders>
              <w:top w:val="nil"/>
              <w:left w:val="nil"/>
              <w:bottom w:val="single" w:sz="4" w:space="0" w:color="auto"/>
              <w:right w:val="single" w:sz="4" w:space="0" w:color="auto"/>
            </w:tcBorders>
            <w:vAlign w:val="center"/>
            <w:hideMark/>
          </w:tcPr>
          <w:p w14:paraId="7E7F57A2"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Very good quality and effectiveness, showcasing strong communication and presentation skills. Maintains audience attention through consistent eye contact, delivering clear and mostly fluent speech at a steady pace.</w:t>
            </w:r>
          </w:p>
        </w:tc>
        <w:tc>
          <w:tcPr>
            <w:tcW w:w="236" w:type="dxa"/>
            <w:tcBorders>
              <w:top w:val="nil"/>
              <w:left w:val="nil"/>
              <w:bottom w:val="single" w:sz="4" w:space="0" w:color="auto"/>
              <w:right w:val="single" w:sz="4" w:space="0" w:color="auto"/>
            </w:tcBorders>
            <w:vAlign w:val="center"/>
            <w:hideMark/>
          </w:tcPr>
          <w:p w14:paraId="7651CD5F"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Good quality and effectiveness with clear and competent presentation elements. Makes some attempts to hold the audience's attention through maintained eye contact. Speaks clearly and fluently, mostly at a steady pace, though occasional speeding up may occur.</w:t>
            </w:r>
          </w:p>
        </w:tc>
        <w:tc>
          <w:tcPr>
            <w:tcW w:w="3212" w:type="dxa"/>
            <w:tcBorders>
              <w:top w:val="nil"/>
              <w:left w:val="nil"/>
              <w:bottom w:val="single" w:sz="4" w:space="0" w:color="auto"/>
              <w:right w:val="single" w:sz="4" w:space="0" w:color="auto"/>
            </w:tcBorders>
            <w:vAlign w:val="center"/>
            <w:hideMark/>
          </w:tcPr>
          <w:p w14:paraId="3B40A887"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Satisfactory quality and effectiveness, meeting basic presentation standards. Makes attempts to engage the audience through maintained eye contact. Speaks clearly and fluently, mostly maintaining a steady pace, although occasional speeding up may occur.</w:t>
            </w:r>
          </w:p>
        </w:tc>
        <w:tc>
          <w:tcPr>
            <w:tcW w:w="1667" w:type="dxa"/>
            <w:tcBorders>
              <w:top w:val="nil"/>
              <w:left w:val="nil"/>
              <w:bottom w:val="single" w:sz="4" w:space="0" w:color="auto"/>
              <w:right w:val="single" w:sz="4" w:space="0" w:color="auto"/>
            </w:tcBorders>
            <w:vAlign w:val="center"/>
            <w:hideMark/>
          </w:tcPr>
          <w:p w14:paraId="3A8E15FD"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Limited quality and effectiveness with noticeable weaknesses in communication or technical aspects. Fails to maintain eye contact with the audience, struggles with being heard or understood, and exhibits issues with speaking pace, being either too fast or too slow.</w:t>
            </w:r>
          </w:p>
        </w:tc>
        <w:tc>
          <w:tcPr>
            <w:tcW w:w="1667" w:type="dxa"/>
            <w:tcBorders>
              <w:top w:val="nil"/>
              <w:left w:val="nil"/>
              <w:bottom w:val="single" w:sz="4" w:space="0" w:color="auto"/>
              <w:right w:val="single" w:sz="4" w:space="0" w:color="auto"/>
            </w:tcBorders>
            <w:vAlign w:val="center"/>
            <w:hideMark/>
          </w:tcPr>
          <w:p w14:paraId="77EE67AB"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Poor quality and effectiveness with significant deficiencies in communication and presentation, including a lack of eye contact with the audience, challenges in being heard or understood, and issues with speaking pace, characterised by being either too fast or too slow.</w:t>
            </w:r>
          </w:p>
        </w:tc>
        <w:tc>
          <w:tcPr>
            <w:tcW w:w="1631" w:type="dxa"/>
            <w:tcBorders>
              <w:top w:val="nil"/>
              <w:left w:val="nil"/>
              <w:bottom w:val="single" w:sz="4" w:space="0" w:color="auto"/>
              <w:right w:val="single" w:sz="4" w:space="0" w:color="auto"/>
            </w:tcBorders>
            <w:vAlign w:val="center"/>
            <w:hideMark/>
          </w:tcPr>
          <w:p w14:paraId="100C0662" w14:textId="77777777" w:rsidR="00650FA7" w:rsidRPr="000A3E5F" w:rsidRDefault="00650FA7" w:rsidP="00650FA7">
            <w:pPr>
              <w:spacing w:after="0" w:line="240" w:lineRule="auto"/>
              <w:jc w:val="center"/>
              <w:rPr>
                <w:rFonts w:eastAsia="Times New Roman" w:cs="Calibri"/>
                <w:kern w:val="0"/>
                <w:sz w:val="22"/>
                <w:szCs w:val="22"/>
                <w:lang w:eastAsia="en-AU"/>
                <w14:ligatures w14:val="none"/>
              </w:rPr>
            </w:pPr>
            <w:r w:rsidRPr="000A3E5F">
              <w:rPr>
                <w:rFonts w:eastAsia="Times New Roman" w:cs="Calibri"/>
                <w:kern w:val="0"/>
                <w:sz w:val="22"/>
                <w:szCs w:val="22"/>
                <w:lang w:eastAsia="en-AU"/>
                <w14:ligatures w14:val="none"/>
              </w:rPr>
              <w:t>Does not maintain eye contact with the audience. Can’t be heard or understood. Speaks too fast/slow.</w:t>
            </w:r>
          </w:p>
        </w:tc>
        <w:tc>
          <w:tcPr>
            <w:tcW w:w="221" w:type="dxa"/>
            <w:vAlign w:val="center"/>
            <w:hideMark/>
          </w:tcPr>
          <w:p w14:paraId="385D896F" w14:textId="77777777" w:rsidR="00650FA7" w:rsidRPr="00650FA7" w:rsidRDefault="00650FA7" w:rsidP="00650FA7">
            <w:pPr>
              <w:spacing w:after="0" w:line="240" w:lineRule="auto"/>
              <w:rPr>
                <w:rFonts w:ascii="Times New Roman" w:eastAsia="Times New Roman" w:hAnsi="Times New Roman" w:cs="Times New Roman"/>
                <w:kern w:val="0"/>
                <w:sz w:val="20"/>
                <w:szCs w:val="20"/>
                <w:lang w:eastAsia="en-AU"/>
                <w14:ligatures w14:val="none"/>
              </w:rPr>
            </w:pPr>
          </w:p>
        </w:tc>
      </w:tr>
    </w:tbl>
    <w:p w14:paraId="35D11A81" w14:textId="3FD8DB6E" w:rsidR="000A3E5F" w:rsidRPr="000A3E5F" w:rsidRDefault="000A3E5F" w:rsidP="000A3E5F">
      <w:pPr>
        <w:tabs>
          <w:tab w:val="left" w:pos="3512"/>
        </w:tabs>
      </w:pPr>
    </w:p>
    <w:sectPr w:rsidR="000A3E5F" w:rsidRPr="000A3E5F" w:rsidSect="00650FA7">
      <w:headerReference w:type="default" r:id="rId6"/>
      <w:footerReference w:type="default" r:id="rId7"/>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710C" w14:textId="77777777" w:rsidR="008A0F62" w:rsidRDefault="008A0F62" w:rsidP="00650FA7">
      <w:pPr>
        <w:spacing w:after="0" w:line="240" w:lineRule="auto"/>
      </w:pPr>
      <w:r>
        <w:separator/>
      </w:r>
    </w:p>
  </w:endnote>
  <w:endnote w:type="continuationSeparator" w:id="0">
    <w:p w14:paraId="35C159F8" w14:textId="77777777" w:rsidR="008A0F62" w:rsidRDefault="008A0F62" w:rsidP="00650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825656"/>
      <w:docPartObj>
        <w:docPartGallery w:val="Page Numbers (Bottom of Page)"/>
        <w:docPartUnique/>
      </w:docPartObj>
    </w:sdtPr>
    <w:sdtContent>
      <w:p w14:paraId="41F85FA6" w14:textId="1E0F7487" w:rsidR="00EA1849" w:rsidRDefault="00EA1849">
        <w:pPr>
          <w:pStyle w:val="Footer"/>
          <w:jc w:val="right"/>
        </w:pPr>
        <w:r>
          <w:fldChar w:fldCharType="begin"/>
        </w:r>
        <w:r>
          <w:instrText>PAGE   \* MERGEFORMAT</w:instrText>
        </w:r>
        <w:r>
          <w:fldChar w:fldCharType="separate"/>
        </w:r>
        <w:r>
          <w:rPr>
            <w:lang w:val="en-GB"/>
          </w:rPr>
          <w:t>2</w:t>
        </w:r>
        <w:r>
          <w:fldChar w:fldCharType="end"/>
        </w:r>
      </w:p>
    </w:sdtContent>
  </w:sdt>
  <w:p w14:paraId="7B685741" w14:textId="3A36E081" w:rsidR="00DA626D" w:rsidRPr="00EA1849" w:rsidRDefault="000A3E5F" w:rsidP="000A3E5F">
    <w:pPr>
      <w:pStyle w:val="Footer"/>
      <w:tabs>
        <w:tab w:val="clear" w:pos="9026"/>
        <w:tab w:val="right" w:pos="15398"/>
      </w:tabs>
    </w:pPr>
    <w:r w:rsidRPr="000A3E5F">
      <w:t xml:space="preserve">NURS5009: Assessment One (1) - Presentation (Pre-recorded video) - </w:t>
    </w:r>
    <w:r>
      <w:t>Rubric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569FD" w14:textId="77777777" w:rsidR="008A0F62" w:rsidRDefault="008A0F62" w:rsidP="00650FA7">
      <w:pPr>
        <w:spacing w:after="0" w:line="240" w:lineRule="auto"/>
      </w:pPr>
      <w:r>
        <w:separator/>
      </w:r>
    </w:p>
  </w:footnote>
  <w:footnote w:type="continuationSeparator" w:id="0">
    <w:p w14:paraId="77BDEEFF" w14:textId="77777777" w:rsidR="008A0F62" w:rsidRDefault="008A0F62" w:rsidP="00650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9269" w14:textId="7E075201" w:rsidR="00650FA7" w:rsidRDefault="00EA1849" w:rsidP="00650FA7">
    <w:pPr>
      <w:pStyle w:val="Header"/>
      <w:jc w:val="right"/>
    </w:pPr>
    <w:sdt>
      <w:sdtPr>
        <w:id w:val="-386341769"/>
        <w:docPartObj>
          <w:docPartGallery w:val="Page Numbers (Margins)"/>
          <w:docPartUnique/>
        </w:docPartObj>
      </w:sdtPr>
      <w:sdtContent>
        <w:r>
          <w:rPr>
            <w:noProof/>
          </w:rPr>
          <mc:AlternateContent>
            <mc:Choice Requires="wps">
              <w:drawing>
                <wp:anchor distT="0" distB="0" distL="114300" distR="114300" simplePos="0" relativeHeight="251661312" behindDoc="0" locked="0" layoutInCell="0" allowOverlap="1" wp14:anchorId="6E4F4611" wp14:editId="083A519C">
                  <wp:simplePos x="0" y="0"/>
                  <wp:positionH relativeFrom="rightMargin">
                    <wp:align>right</wp:align>
                  </wp:positionH>
                  <wp:positionV relativeFrom="margin">
                    <wp:align>center</wp:align>
                  </wp:positionV>
                  <wp:extent cx="365760" cy="329565"/>
                  <wp:effectExtent l="0" t="0" r="0" b="3810"/>
                  <wp:wrapNone/>
                  <wp:docPr id="205356044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29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FF07C" w14:textId="33D95ADF" w:rsidR="00EA1849" w:rsidRDefault="00EA1849">
                              <w:pPr>
                                <w:pBdr>
                                  <w:bottom w:val="single" w:sz="4" w:space="1" w:color="auto"/>
                                </w:pBdr>
                              </w:pP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6E4F4611" id="Rectangle 1" o:spid="_x0000_s1026" style="position:absolute;left:0;text-align:left;margin-left:-22.4pt;margin-top:0;width:28.8pt;height:25.95pt;z-index:251661312;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" o:allowincell="f" stroked="f">
                  <v:textbox>
                    <w:txbxContent>
                      <w:p w14:paraId="723FF07C" w14:textId="33D95ADF" w:rsidR="00EA1849" w:rsidRDefault="00EA1849">
                        <w:pPr>
                          <w:pBdr>
                            <w:bottom w:val="single" w:sz="4" w:space="1" w:color="auto"/>
                          </w:pBdr>
                        </w:pPr>
                      </w:p>
                    </w:txbxContent>
                  </v:textbox>
                  <w10:wrap anchorx="margin" anchory="margin"/>
                </v:rect>
              </w:pict>
            </mc:Fallback>
          </mc:AlternateContent>
        </w:r>
      </w:sdtContent>
    </w:sdt>
    <w:r w:rsidR="00650FA7">
      <w:rPr>
        <w:noProof/>
      </w:rPr>
      <w:drawing>
        <wp:anchor distT="0" distB="0" distL="114300" distR="114300" simplePos="0" relativeHeight="251658240" behindDoc="0" locked="0" layoutInCell="1" allowOverlap="1" wp14:anchorId="35F18C14" wp14:editId="45D9E6D1">
          <wp:simplePos x="0" y="0"/>
          <wp:positionH relativeFrom="column">
            <wp:posOffset>-199777</wp:posOffset>
          </wp:positionH>
          <wp:positionV relativeFrom="paragraph">
            <wp:posOffset>-327567</wp:posOffset>
          </wp:positionV>
          <wp:extent cx="1704975" cy="581025"/>
          <wp:effectExtent l="0" t="0" r="9525" b="9525"/>
          <wp:wrapNone/>
          <wp:docPr id="309659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59184" name="Picture 309659184"/>
                  <pic:cNvPicPr/>
                </pic:nvPicPr>
                <pic:blipFill>
                  <a:blip r:embed="rId1">
                    <a:extLst>
                      <a:ext uri="{28A0092B-C50C-407E-A947-70E740481C1C}">
                        <a14:useLocalDpi xmlns:a14="http://schemas.microsoft.com/office/drawing/2010/main" val="0"/>
                      </a:ext>
                    </a:extLst>
                  </a:blip>
                  <a:stretch>
                    <a:fillRect/>
                  </a:stretch>
                </pic:blipFill>
                <pic:spPr>
                  <a:xfrm>
                    <a:off x="0" y="0"/>
                    <a:ext cx="1704975" cy="581025"/>
                  </a:xfrm>
                  <a:prstGeom prst="rect">
                    <a:avLst/>
                  </a:prstGeom>
                </pic:spPr>
              </pic:pic>
            </a:graphicData>
          </a:graphic>
          <wp14:sizeRelH relativeFrom="page">
            <wp14:pctWidth>0</wp14:pctWidth>
          </wp14:sizeRelH>
          <wp14:sizeRelV relativeFrom="page">
            <wp14:pctHeight>0</wp14:pctHeight>
          </wp14:sizeRelV>
        </wp:anchor>
      </w:drawing>
    </w:r>
    <w:r w:rsidR="00650FA7">
      <w:rPr>
        <w:noProof/>
      </w:rPr>
      <w:drawing>
        <wp:anchor distT="0" distB="0" distL="114300" distR="114300" simplePos="0" relativeHeight="251659264" behindDoc="0" locked="0" layoutInCell="1" allowOverlap="1" wp14:anchorId="7F13DED5" wp14:editId="605E2D82">
          <wp:simplePos x="0" y="0"/>
          <wp:positionH relativeFrom="column">
            <wp:posOffset>9444881</wp:posOffset>
          </wp:positionH>
          <wp:positionV relativeFrom="paragraph">
            <wp:posOffset>-319034</wp:posOffset>
          </wp:positionV>
          <wp:extent cx="669290" cy="728980"/>
          <wp:effectExtent l="0" t="0" r="0" b="0"/>
          <wp:wrapNone/>
          <wp:docPr id="1291941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41952" name="Picture 1291941952"/>
                  <pic:cNvPicPr/>
                </pic:nvPicPr>
                <pic:blipFill>
                  <a:blip r:embed="rId2">
                    <a:extLst>
                      <a:ext uri="{28A0092B-C50C-407E-A947-70E740481C1C}">
                        <a14:useLocalDpi xmlns:a14="http://schemas.microsoft.com/office/drawing/2010/main" val="0"/>
                      </a:ext>
                    </a:extLst>
                  </a:blip>
                  <a:stretch>
                    <a:fillRect/>
                  </a:stretch>
                </pic:blipFill>
                <pic:spPr>
                  <a:xfrm>
                    <a:off x="0" y="0"/>
                    <a:ext cx="669290" cy="72898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A7"/>
    <w:rsid w:val="000A3E5F"/>
    <w:rsid w:val="005F01AF"/>
    <w:rsid w:val="00650FA7"/>
    <w:rsid w:val="00773056"/>
    <w:rsid w:val="008A0F62"/>
    <w:rsid w:val="00951DB8"/>
    <w:rsid w:val="00DA626D"/>
    <w:rsid w:val="00DB0600"/>
    <w:rsid w:val="00EA18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5C3FE"/>
  <w15:chartTrackingRefBased/>
  <w15:docId w15:val="{FB007056-D40E-4CD1-A79C-FDB1540E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FA7"/>
    <w:rPr>
      <w:rFonts w:eastAsiaTheme="majorEastAsia" w:cstheme="majorBidi"/>
      <w:color w:val="272727" w:themeColor="text1" w:themeTint="D8"/>
    </w:rPr>
  </w:style>
  <w:style w:type="paragraph" w:styleId="Title">
    <w:name w:val="Title"/>
    <w:basedOn w:val="Normal"/>
    <w:next w:val="Normal"/>
    <w:link w:val="TitleChar"/>
    <w:uiPriority w:val="10"/>
    <w:qFormat/>
    <w:rsid w:val="00650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FA7"/>
    <w:pPr>
      <w:spacing w:before="160"/>
      <w:jc w:val="center"/>
    </w:pPr>
    <w:rPr>
      <w:i/>
      <w:iCs/>
      <w:color w:val="404040" w:themeColor="text1" w:themeTint="BF"/>
    </w:rPr>
  </w:style>
  <w:style w:type="character" w:customStyle="1" w:styleId="QuoteChar">
    <w:name w:val="Quote Char"/>
    <w:basedOn w:val="DefaultParagraphFont"/>
    <w:link w:val="Quote"/>
    <w:uiPriority w:val="29"/>
    <w:rsid w:val="00650FA7"/>
    <w:rPr>
      <w:i/>
      <w:iCs/>
      <w:color w:val="404040" w:themeColor="text1" w:themeTint="BF"/>
    </w:rPr>
  </w:style>
  <w:style w:type="paragraph" w:styleId="ListParagraph">
    <w:name w:val="List Paragraph"/>
    <w:basedOn w:val="Normal"/>
    <w:uiPriority w:val="34"/>
    <w:qFormat/>
    <w:rsid w:val="00650FA7"/>
    <w:pPr>
      <w:ind w:left="720"/>
      <w:contextualSpacing/>
    </w:pPr>
  </w:style>
  <w:style w:type="character" w:styleId="IntenseEmphasis">
    <w:name w:val="Intense Emphasis"/>
    <w:basedOn w:val="DefaultParagraphFont"/>
    <w:uiPriority w:val="21"/>
    <w:qFormat/>
    <w:rsid w:val="00650FA7"/>
    <w:rPr>
      <w:i/>
      <w:iCs/>
      <w:color w:val="0F4761" w:themeColor="accent1" w:themeShade="BF"/>
    </w:rPr>
  </w:style>
  <w:style w:type="paragraph" w:styleId="IntenseQuote">
    <w:name w:val="Intense Quote"/>
    <w:basedOn w:val="Normal"/>
    <w:next w:val="Normal"/>
    <w:link w:val="IntenseQuoteChar"/>
    <w:uiPriority w:val="30"/>
    <w:qFormat/>
    <w:rsid w:val="00650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FA7"/>
    <w:rPr>
      <w:i/>
      <w:iCs/>
      <w:color w:val="0F4761" w:themeColor="accent1" w:themeShade="BF"/>
    </w:rPr>
  </w:style>
  <w:style w:type="character" w:styleId="IntenseReference">
    <w:name w:val="Intense Reference"/>
    <w:basedOn w:val="DefaultParagraphFont"/>
    <w:uiPriority w:val="32"/>
    <w:qFormat/>
    <w:rsid w:val="00650FA7"/>
    <w:rPr>
      <w:b/>
      <w:bCs/>
      <w:smallCaps/>
      <w:color w:val="0F4761" w:themeColor="accent1" w:themeShade="BF"/>
      <w:spacing w:val="5"/>
    </w:rPr>
  </w:style>
  <w:style w:type="paragraph" w:styleId="Header">
    <w:name w:val="header"/>
    <w:basedOn w:val="Normal"/>
    <w:link w:val="HeaderChar"/>
    <w:uiPriority w:val="99"/>
    <w:unhideWhenUsed/>
    <w:rsid w:val="00650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FA7"/>
  </w:style>
  <w:style w:type="paragraph" w:styleId="Footer">
    <w:name w:val="footer"/>
    <w:basedOn w:val="Normal"/>
    <w:link w:val="FooterChar"/>
    <w:uiPriority w:val="99"/>
    <w:unhideWhenUsed/>
    <w:rsid w:val="00650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F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NURS5009 - Assessment 1 - RUBRIC</dc:title>
  <dc:subject>NURS5009</dc:subject>
  <dc:creator>Ty Perrin</dc:creator>
  <cp:keywords>SCU</cp:keywords>
  <dc:description/>
  <cp:lastModifiedBy>Ty Perrin</cp:lastModifiedBy>
  <cp:revision>4</cp:revision>
  <dcterms:created xsi:type="dcterms:W3CDTF">2026-08-04T00:16:00Z</dcterms:created>
  <dcterms:modified xsi:type="dcterms:W3CDTF">2026-08-04T00:30:00Z</dcterms:modified>
</cp:coreProperties>
</file>