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40FBC" w:rsidRDefault="00542CBE" w14:paraId="0D19647E" w14:textId="77777777">
      <w:pPr>
        <w:pStyle w:val="NormalWeb"/>
      </w:pPr>
      <w:r>
        <w:br/>
      </w:r>
      <w:r>
        <w:br/>
      </w:r>
      <w:r w:rsidRPr="294730FF" w:rsidR="00542CBE">
        <w:rPr>
          <w:lang w:val="en-US"/>
        </w:rPr>
        <w:t xml:space="preserve">Configuration Intelligence: The Strategic Engine Powering </w:t>
      </w:r>
      <w:r w:rsidRPr="294730FF" w:rsidR="00542CBE">
        <w:rPr>
          <w:lang w:val="en-US"/>
        </w:rPr>
        <w:t>GovTech</w:t>
      </w:r>
      <w:r w:rsidRPr="294730FF" w:rsidR="00542CBE">
        <w:rPr>
          <w:lang w:val="en-US"/>
        </w:rPr>
        <w:t xml:space="preserve"> and Enterprise Digital Transformation</w:t>
      </w:r>
    </w:p>
    <w:p w:rsidR="003A55F2" w:rsidRDefault="00640FBC" w14:paraId="60945E9A" w14:textId="62883ACA">
      <w:pPr>
        <w:pStyle w:val="NormalWeb"/>
      </w:pPr>
      <w:r w:rsidR="00640FBC">
        <w:drawing>
          <wp:inline wp14:editId="28F43A43" wp14:anchorId="26474D2E">
            <wp:extent cx="5731510" cy="3262630"/>
            <wp:effectExtent l="0" t="0" r="2540" b="0"/>
            <wp:docPr id="95917250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172507" name=""/>
                    <pic:cNvPicPr/>
                  </pic:nvPicPr>
                  <pic:blipFill>
                    <a:blip xmlns:r="http://schemas.openxmlformats.org/officeDocument/2006/relationships" r:embed="rId7"/>
                    <a:stretch>
                      <a:fillRect/>
                    </a:stretch>
                  </pic:blipFill>
                  <pic:spPr>
                    <a:xfrm>
                      <a:off x="0" y="0"/>
                      <a:ext cx="5731510" cy="3262630"/>
                    </a:xfrm>
                    <a:prstGeom prst="rect">
                      <a:avLst/>
                    </a:prstGeom>
                  </pic:spPr>
                </pic:pic>
              </a:graphicData>
            </a:graphic>
          </wp:inline>
        </w:drawing>
      </w:r>
      <w:r>
        <w:br/>
      </w:r>
      <w:r>
        <w:br/>
      </w:r>
      <w:r>
        <w:br/>
      </w:r>
      <w:r>
        <w:br/>
      </w:r>
      <w:r w:rsidRPr="294730FF" w:rsidR="00640FBC">
        <w:rPr>
          <w:lang w:val="en-US"/>
        </w:rPr>
        <w:t>The Untold Layer Behind Successful Digital Transformation</w:t>
      </w:r>
      <w:r>
        <w:br/>
      </w:r>
      <w:r>
        <w:br/>
      </w:r>
      <w:r w:rsidRPr="294730FF" w:rsidR="00640FBC">
        <w:rPr>
          <w:lang w:val="en-US"/>
        </w:rPr>
        <w:t>Across government agencies and enterprise organizations, digital transformation initiatives are accelerating at an unprecedented pace. Leaders are investing heavily in artificial intelligence, cloud modernization, and enterprise platforms such as ServiceNow and Salesforce Public Sector Solutions to deliver scalable, citizen-centric services.</w:t>
      </w:r>
      <w:r>
        <w:br/>
      </w:r>
      <w:r>
        <w:br/>
      </w:r>
      <w:r w:rsidRPr="294730FF" w:rsidR="00640FBC">
        <w:rPr>
          <w:lang w:val="en-US"/>
        </w:rPr>
        <w:t>Yet many transformation programs succeed or fail based on a discipline that rarely receives executive attention: configuration intelligence.</w:t>
      </w:r>
      <w:r>
        <w:br/>
      </w:r>
      <w:r>
        <w:br/>
      </w:r>
      <w:r w:rsidRPr="294730FF" w:rsidR="00640FBC">
        <w:rPr>
          <w:lang w:val="en-US"/>
        </w:rPr>
        <w:t xml:space="preserve">Configuration is often perceived as a technical implementation task. </w:t>
      </w:r>
      <w:r w:rsidRPr="294730FF" w:rsidR="00640FBC">
        <w:rPr>
          <w:lang w:val="en-US"/>
        </w:rPr>
        <w:t>In reality, it</w:t>
      </w:r>
      <w:r w:rsidRPr="294730FF" w:rsidR="00640FBC">
        <w:rPr>
          <w:lang w:val="en-US"/>
        </w:rPr>
        <w:t xml:space="preserve"> serves as the strategic layer that </w:t>
      </w:r>
      <w:r w:rsidRPr="294730FF" w:rsidR="00640FBC">
        <w:rPr>
          <w:lang w:val="en-US"/>
        </w:rPr>
        <w:t>determines</w:t>
      </w:r>
      <w:r w:rsidRPr="294730FF" w:rsidR="00640FBC">
        <w:rPr>
          <w:lang w:val="en-US"/>
        </w:rPr>
        <w:t xml:space="preserve"> how digital platforms </w:t>
      </w:r>
      <w:r w:rsidRPr="294730FF" w:rsidR="00640FBC">
        <w:rPr>
          <w:lang w:val="en-US"/>
        </w:rPr>
        <w:t>operate</w:t>
      </w:r>
      <w:r w:rsidRPr="294730FF" w:rsidR="00640FBC">
        <w:rPr>
          <w:lang w:val="en-US"/>
        </w:rPr>
        <w:t xml:space="preserve">, integrate, scale, and deliver measurable business outcomes. As organizations prioritize agility, compliance, and user experience, configuration is </w:t>
      </w:r>
      <w:r w:rsidRPr="294730FF" w:rsidR="00640FBC">
        <w:rPr>
          <w:lang w:val="en-US"/>
        </w:rPr>
        <w:t>emerging</w:t>
      </w:r>
      <w:r w:rsidRPr="294730FF" w:rsidR="00640FBC">
        <w:rPr>
          <w:lang w:val="en-US"/>
        </w:rPr>
        <w:t xml:space="preserve"> as one of the most influential drivers of modernization success.</w:t>
      </w:r>
      <w:r>
        <w:br/>
      </w:r>
      <w:r>
        <w:br/>
      </w:r>
      <w:r>
        <w:br/>
      </w:r>
      <w:r w:rsidRPr="294730FF" w:rsidR="00640FBC">
        <w:rPr>
          <w:lang w:val="en-US"/>
        </w:rPr>
        <w:t>Why Configuration Intelligence Is Becoming a Strategic Business Function</w:t>
      </w:r>
      <w:r>
        <w:br/>
      </w:r>
      <w:r>
        <w:br/>
      </w:r>
      <w:r w:rsidRPr="294730FF" w:rsidR="00640FBC">
        <w:rPr>
          <w:lang w:val="en-US"/>
        </w:rPr>
        <w:t xml:space="preserve">Digital transformation today is no longer about adopting </w:t>
      </w:r>
      <w:r w:rsidRPr="294730FF" w:rsidR="00640FBC">
        <w:rPr>
          <w:lang w:val="en-US"/>
        </w:rPr>
        <w:t>new technology</w:t>
      </w:r>
      <w:r w:rsidRPr="294730FF" w:rsidR="00640FBC">
        <w:rPr>
          <w:lang w:val="en-US"/>
        </w:rPr>
        <w:t>. It is about ensuring technology aligns seamlessly with organizational processes, regulatory requirements, and service delivery goals.</w:t>
      </w:r>
      <w:r>
        <w:br/>
      </w:r>
      <w:r>
        <w:br/>
      </w:r>
      <w:r w:rsidRPr="294730FF" w:rsidR="00640FBC">
        <w:rPr>
          <w:lang w:val="en-US"/>
        </w:rPr>
        <w:t xml:space="preserve">In </w:t>
      </w:r>
      <w:r w:rsidRPr="294730FF" w:rsidR="00640FBC">
        <w:rPr>
          <w:lang w:val="en-US"/>
        </w:rPr>
        <w:t>GovTech</w:t>
      </w:r>
      <w:r w:rsidRPr="294730FF" w:rsidR="00640FBC">
        <w:rPr>
          <w:lang w:val="en-US"/>
        </w:rPr>
        <w:t xml:space="preserve"> environments especially, modernization initiatives must balance:</w:t>
      </w:r>
      <w:r>
        <w:br/>
      </w:r>
      <w:r w:rsidRPr="294730FF" w:rsidR="00640FBC">
        <w:rPr>
          <w:lang w:val="en-US"/>
        </w:rPr>
        <w:t>• Data security and compliance</w:t>
      </w:r>
      <w:r>
        <w:br/>
      </w:r>
      <w:r w:rsidRPr="294730FF" w:rsidR="00640FBC">
        <w:rPr>
          <w:lang w:val="en-US"/>
        </w:rPr>
        <w:t>• Citizen service accessibility</w:t>
      </w:r>
      <w:r>
        <w:br/>
      </w:r>
      <w:r w:rsidRPr="294730FF" w:rsidR="00640FBC">
        <w:rPr>
          <w:lang w:val="en-US"/>
        </w:rPr>
        <w:t>• Operational efficiency</w:t>
      </w:r>
      <w:r>
        <w:br/>
      </w:r>
      <w:r w:rsidRPr="294730FF" w:rsidR="00640FBC">
        <w:rPr>
          <w:lang w:val="en-US"/>
        </w:rPr>
        <w:t>• Inter-agency system integration</w:t>
      </w:r>
      <w:r>
        <w:br/>
      </w:r>
      <w:r w:rsidRPr="294730FF" w:rsidR="00640FBC">
        <w:rPr>
          <w:lang w:val="en-US"/>
        </w:rPr>
        <w:t>• Scalability across rapidly evolving digital ecosystems</w:t>
      </w:r>
      <w:r>
        <w:br/>
      </w:r>
      <w:r>
        <w:br/>
      </w:r>
      <w:r w:rsidRPr="294730FF" w:rsidR="00640FBC">
        <w:rPr>
          <w:lang w:val="en-US"/>
        </w:rPr>
        <w:t>Configuration intelligence enables organizations to operationalize these priorities without extensive custom development, which often introduces risk, delays, and long-term maintenance complexity.</w:t>
      </w:r>
      <w:r>
        <w:br/>
      </w:r>
      <w:r>
        <w:br/>
      </w:r>
      <w:r w:rsidRPr="294730FF" w:rsidR="00640FBC">
        <w:rPr>
          <w:lang w:val="en-US"/>
        </w:rPr>
        <w:t>From my experience supporting enterprise and public sector environments, the organizations that treat configuration as a strategic capability consistently achieve faster deployment cycles, stronger governance controls, and improved service reliability.</w:t>
      </w:r>
      <w:r>
        <w:br/>
      </w:r>
      <w:r>
        <w:br/>
      </w:r>
      <w:r>
        <w:br/>
      </w:r>
      <w:r>
        <w:br/>
      </w:r>
      <w:r w:rsidRPr="294730FF" w:rsidR="00640FBC">
        <w:rPr>
          <w:lang w:val="en-US"/>
        </w:rPr>
        <w:t>The Shift from System Configuration to Experience Configuration</w:t>
      </w:r>
      <w:r>
        <w:br/>
      </w:r>
      <w:r>
        <w:br/>
      </w:r>
      <w:r w:rsidRPr="294730FF" w:rsidR="00640FBC">
        <w:rPr>
          <w:lang w:val="en-US"/>
        </w:rPr>
        <w:t>One of the most significant transformations happening across the technology landscape is the shift from configuring systems to configuring user and citizen experiences.</w:t>
      </w:r>
      <w:r>
        <w:br/>
      </w:r>
      <w:r>
        <w:br/>
      </w:r>
      <w:r w:rsidRPr="294730FF" w:rsidR="00640FBC">
        <w:rPr>
          <w:lang w:val="en-US"/>
        </w:rPr>
        <w:t>Modern platforms such as ServiceNow are not simply workflow tools. They are experience delivery platforms designed to orchestrate services across departments, automate decision processes, and unify service delivery channels.</w:t>
      </w:r>
      <w:r>
        <w:br/>
      </w:r>
      <w:r>
        <w:br/>
      </w:r>
      <w:r w:rsidRPr="294730FF" w:rsidR="00640FBC">
        <w:rPr>
          <w:lang w:val="en-US"/>
        </w:rPr>
        <w:t>Thought-Leadership Insight:</w:t>
      </w:r>
      <w:r>
        <w:br/>
      </w:r>
      <w:r>
        <w:br/>
      </w:r>
      <w:r w:rsidRPr="294730FF" w:rsidR="00640FBC">
        <w:rPr>
          <w:lang w:val="en-US"/>
        </w:rPr>
        <w:t>The future of digital transformation will be defined less by the technology organizations deploy and more by how intelligently they configure service experiences around their users.</w:t>
      </w:r>
      <w:r>
        <w:br/>
      </w:r>
      <w:r>
        <w:br/>
      </w:r>
      <w:r w:rsidRPr="294730FF" w:rsidR="00640FBC">
        <w:rPr>
          <w:lang w:val="en-US"/>
        </w:rPr>
        <w:t xml:space="preserve">Organizations that lead in </w:t>
      </w:r>
      <w:r w:rsidRPr="294730FF" w:rsidR="00640FBC">
        <w:rPr>
          <w:lang w:val="en-US"/>
        </w:rPr>
        <w:t>GovTech</w:t>
      </w:r>
      <w:r w:rsidRPr="294730FF" w:rsidR="00640FBC">
        <w:rPr>
          <w:lang w:val="en-US"/>
        </w:rPr>
        <w:t xml:space="preserve"> modernization are using configuration strategies to:</w:t>
      </w:r>
      <w:r>
        <w:br/>
      </w:r>
      <w:r w:rsidRPr="294730FF" w:rsidR="00640FBC">
        <w:rPr>
          <w:lang w:val="en-US"/>
        </w:rPr>
        <w:t>• Personalize citizen service workflows</w:t>
      </w:r>
      <w:r>
        <w:br/>
      </w:r>
      <w:r w:rsidRPr="294730FF" w:rsidR="00640FBC">
        <w:rPr>
          <w:lang w:val="en-US"/>
        </w:rPr>
        <w:t>• Automate case management and compliance tracking</w:t>
      </w:r>
      <w:r>
        <w:br/>
      </w:r>
      <w:r w:rsidRPr="294730FF" w:rsidR="00640FBC">
        <w:rPr>
          <w:lang w:val="en-US"/>
        </w:rPr>
        <w:t>• Integrate multi-channel service portals</w:t>
      </w:r>
      <w:r>
        <w:br/>
      </w:r>
      <w:r w:rsidRPr="294730FF" w:rsidR="00640FBC">
        <w:rPr>
          <w:lang w:val="en-US"/>
        </w:rPr>
        <w:t>• Enable data-driven decision support systems</w:t>
      </w:r>
      <w:r>
        <w:br/>
      </w:r>
      <w:r w:rsidRPr="294730FF" w:rsidR="00640FBC">
        <w:rPr>
          <w:lang w:val="en-US"/>
        </w:rPr>
        <w:t>• Improve response times and service transparency</w:t>
      </w:r>
      <w:r>
        <w:br/>
      </w:r>
      <w:r>
        <w:br/>
      </w:r>
      <w:r w:rsidRPr="294730FF" w:rsidR="00640FBC">
        <w:rPr>
          <w:lang w:val="en-US"/>
        </w:rPr>
        <w:t>This evolution positions configuration analysts as architects of digital service experience rather than backend system operators.</w:t>
      </w:r>
      <w:r>
        <w:br/>
      </w:r>
      <w:r>
        <w:br/>
      </w:r>
      <w:r w:rsidR="00640FBC">
        <w:drawing>
          <wp:inline wp14:editId="696A9B23" wp14:anchorId="0806743B">
            <wp:extent cx="5731510" cy="3209925"/>
            <wp:effectExtent l="0" t="0" r="2540" b="9525"/>
            <wp:docPr id="193661425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614258" name=""/>
                    <pic:cNvPicPr/>
                  </pic:nvPicPr>
                  <pic:blipFill>
                    <a:blip xmlns:r="http://schemas.openxmlformats.org/officeDocument/2006/relationships" r:embed="rId8"/>
                    <a:stretch>
                      <a:fillRect/>
                    </a:stretch>
                  </pic:blipFill>
                  <pic:spPr>
                    <a:xfrm>
                      <a:off x="0" y="0"/>
                      <a:ext cx="5731510" cy="3209925"/>
                    </a:xfrm>
                    <a:prstGeom prst="rect">
                      <a:avLst/>
                    </a:prstGeom>
                  </pic:spPr>
                </pic:pic>
              </a:graphicData>
            </a:graphic>
          </wp:inline>
        </w:drawing>
      </w:r>
      <w:r>
        <w:br/>
      </w:r>
      <w:r>
        <w:br/>
      </w:r>
      <w:r w:rsidRPr="294730FF" w:rsidR="00640FBC">
        <w:rPr>
          <w:lang w:val="en-US"/>
        </w:rPr>
        <w:t>Configuration Intelligence and Data-Driven Government</w:t>
      </w:r>
      <w:r>
        <w:br/>
      </w:r>
      <w:r>
        <w:br/>
      </w:r>
      <w:r w:rsidRPr="294730FF" w:rsidR="00640FBC">
        <w:rPr>
          <w:lang w:val="en-US"/>
        </w:rPr>
        <w:t>Data analytics continues to reshape how government agencies and enterprise leaders make strategic decisions. However, the effectiveness of data initiatives depends heavily on how systems capture, structure, and share information across digital environments.</w:t>
      </w:r>
      <w:r>
        <w:br/>
      </w:r>
      <w:r>
        <w:br/>
      </w:r>
      <w:r w:rsidRPr="294730FF" w:rsidR="00640FBC">
        <w:rPr>
          <w:lang w:val="en-US"/>
        </w:rPr>
        <w:t xml:space="preserve">Poor configuration design often results in fragmented data pipelines, inconsistent reporting, and unreliable analytics models. In contrast, intelligent configuration </w:t>
      </w:r>
      <w:r w:rsidRPr="294730FF" w:rsidR="00640FBC">
        <w:rPr>
          <w:lang w:val="en-US"/>
        </w:rPr>
        <w:t>establishes</w:t>
      </w:r>
      <w:r w:rsidRPr="294730FF" w:rsidR="00640FBC">
        <w:rPr>
          <w:lang w:val="en-US"/>
        </w:rPr>
        <w:t xml:space="preserve"> structured data ecosystems that support real-time analytics and predictive decision making.</w:t>
      </w:r>
      <w:r>
        <w:br/>
      </w:r>
      <w:r>
        <w:br/>
      </w:r>
      <w:r>
        <w:br/>
      </w:r>
      <w:r w:rsidRPr="294730FF" w:rsidR="00640FBC">
        <w:rPr>
          <w:lang w:val="en-US"/>
        </w:rPr>
        <w:t>GovTech</w:t>
      </w:r>
      <w:r w:rsidRPr="294730FF" w:rsidR="00640FBC">
        <w:rPr>
          <w:lang w:val="en-US"/>
        </w:rPr>
        <w:t xml:space="preserve"> data modernization, enterprise data integration, AI-driven analytics, ServiceNow data workflows, public sector digital intelligence</w:t>
      </w:r>
      <w:r>
        <w:br/>
      </w:r>
      <w:r>
        <w:br/>
      </w:r>
      <w:r w:rsidRPr="294730FF" w:rsidR="00640FBC">
        <w:rPr>
          <w:lang w:val="en-US"/>
        </w:rPr>
        <w:t>Thought-Leadership Insight:</w:t>
      </w:r>
      <w:r>
        <w:br/>
      </w:r>
      <w:r>
        <w:br/>
      </w:r>
      <w:r w:rsidRPr="294730FF" w:rsidR="00640FBC">
        <w:rPr>
          <w:lang w:val="en-US"/>
        </w:rPr>
        <w:t xml:space="preserve">Data strategy does not begin with analytics dashboards. It begins with </w:t>
      </w:r>
      <w:r w:rsidRPr="294730FF" w:rsidR="00640FBC">
        <w:rPr>
          <w:lang w:val="en-US"/>
        </w:rPr>
        <w:t>configuration</w:t>
      </w:r>
      <w:r w:rsidRPr="294730FF" w:rsidR="00640FBC">
        <w:rPr>
          <w:lang w:val="en-US"/>
        </w:rPr>
        <w:t xml:space="preserve"> architecture that </w:t>
      </w:r>
      <w:r w:rsidRPr="294730FF" w:rsidR="00640FBC">
        <w:rPr>
          <w:lang w:val="en-US"/>
        </w:rPr>
        <w:t>determines</w:t>
      </w:r>
      <w:r w:rsidRPr="294730FF" w:rsidR="00640FBC">
        <w:rPr>
          <w:lang w:val="en-US"/>
        </w:rPr>
        <w:t xml:space="preserve"> how data flows, transforms, and informs decision-making.</w:t>
      </w:r>
      <w:r>
        <w:br/>
      </w:r>
      <w:r>
        <w:br/>
      </w:r>
      <w:r w:rsidRPr="294730FF" w:rsidR="00640FBC">
        <w:rPr>
          <w:lang w:val="en-US"/>
        </w:rPr>
        <w:t>Organizations investing in configuration governance are strengthening their ability to:</w:t>
      </w:r>
      <w:r>
        <w:br/>
      </w:r>
      <w:r w:rsidRPr="294730FF" w:rsidR="00640FBC">
        <w:rPr>
          <w:lang w:val="en-US"/>
        </w:rPr>
        <w:t>• Support AI-driven automation initiatives</w:t>
      </w:r>
      <w:r>
        <w:br/>
      </w:r>
      <w:r w:rsidRPr="294730FF" w:rsidR="00640FBC">
        <w:rPr>
          <w:lang w:val="en-US"/>
        </w:rPr>
        <w:t>• Improve regulatory reporting accuracy</w:t>
      </w:r>
      <w:r>
        <w:br/>
      </w:r>
      <w:r w:rsidRPr="294730FF" w:rsidR="00640FBC">
        <w:rPr>
          <w:lang w:val="en-US"/>
        </w:rPr>
        <w:t>• Enhance operational transparency</w:t>
      </w:r>
      <w:r>
        <w:br/>
      </w:r>
      <w:r w:rsidRPr="294730FF" w:rsidR="00640FBC">
        <w:rPr>
          <w:lang w:val="en-US"/>
        </w:rPr>
        <w:t>• Enable cross-agency data collaboration</w:t>
      </w:r>
      <w:r>
        <w:br/>
      </w:r>
      <w:r w:rsidRPr="294730FF" w:rsidR="00640FBC">
        <w:rPr>
          <w:lang w:val="en-US"/>
        </w:rPr>
        <w:t>• Reduce risk through standardized data validation frameworks</w:t>
      </w:r>
      <w:r>
        <w:br/>
      </w:r>
      <w:r>
        <w:br/>
      </w:r>
      <w:r w:rsidR="00640FBC">
        <w:drawing>
          <wp:inline wp14:editId="504774B0" wp14:anchorId="586F6572">
            <wp:extent cx="5731510" cy="3721735"/>
            <wp:effectExtent l="0" t="0" r="2540" b="0"/>
            <wp:docPr id="33299921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999210" name=""/>
                    <pic:cNvPicPr/>
                  </pic:nvPicPr>
                  <pic:blipFill>
                    <a:blip xmlns:r="http://schemas.openxmlformats.org/officeDocument/2006/relationships" r:embed="rId9"/>
                    <a:stretch>
                      <a:fillRect/>
                    </a:stretch>
                  </pic:blipFill>
                  <pic:spPr>
                    <a:xfrm>
                      <a:off x="0" y="0"/>
                      <a:ext cx="5731510" cy="3721735"/>
                    </a:xfrm>
                    <a:prstGeom prst="rect">
                      <a:avLst/>
                    </a:prstGeom>
                  </pic:spPr>
                </pic:pic>
              </a:graphicData>
            </a:graphic>
          </wp:inline>
        </w:drawing>
      </w:r>
      <w:r>
        <w:br/>
      </w:r>
      <w:r>
        <w:br/>
      </w:r>
      <w:r w:rsidRPr="294730FF" w:rsidR="00640FBC">
        <w:rPr>
          <w:lang w:val="en-US"/>
        </w:rPr>
        <w:t>Enabling Scalable Cloud and AI Infrastructure Through Configuration</w:t>
      </w:r>
      <w:r>
        <w:br/>
      </w:r>
      <w:r>
        <w:br/>
      </w:r>
      <w:r w:rsidRPr="294730FF" w:rsidR="00640FBC">
        <w:rPr>
          <w:lang w:val="en-US"/>
        </w:rPr>
        <w:t>Cloud modernization remains a core pillar of enterprise and public sector digital transformation. Platforms built on microservices, asynchronous processing, and distributed architectures enable high-availability systems capable of supporting millions of users.</w:t>
      </w:r>
      <w:r>
        <w:br/>
      </w:r>
      <w:r>
        <w:br/>
      </w:r>
      <w:r w:rsidRPr="294730FF" w:rsidR="00640FBC">
        <w:rPr>
          <w:lang w:val="en-US"/>
        </w:rPr>
        <w:t>However, scalability is not achieved through infrastructure alone. It is achieved through intelligent configuration management that ensures consistency, security, and performance optimization across environments.</w:t>
      </w:r>
      <w:r>
        <w:br/>
      </w:r>
      <w:r>
        <w:br/>
      </w:r>
      <w:r>
        <w:br/>
      </w:r>
      <w:r w:rsidRPr="294730FF" w:rsidR="00640FBC">
        <w:rPr>
          <w:lang w:val="en-US"/>
        </w:rPr>
        <w:t>Cloud scalability, enterprise modernization, digital infrastructure optimization, AI integration, ServiceNow cloud implementation</w:t>
      </w:r>
      <w:r>
        <w:br/>
      </w:r>
      <w:r>
        <w:br/>
      </w:r>
      <w:r w:rsidRPr="294730FF" w:rsidR="00640FBC">
        <w:rPr>
          <w:lang w:val="en-US"/>
        </w:rPr>
        <w:t>From an operational perspective, configuration intelligence supports:</w:t>
      </w:r>
      <w:r>
        <w:br/>
      </w:r>
      <w:r w:rsidRPr="294730FF" w:rsidR="00640FBC">
        <w:rPr>
          <w:lang w:val="en-US"/>
        </w:rPr>
        <w:t>• Secure identity and access management frameworks</w:t>
      </w:r>
      <w:r>
        <w:br/>
      </w:r>
      <w:r w:rsidRPr="294730FF" w:rsidR="00640FBC">
        <w:rPr>
          <w:lang w:val="en-US"/>
        </w:rPr>
        <w:t>• Automated workflow orchestration across microservices</w:t>
      </w:r>
      <w:r>
        <w:br/>
      </w:r>
      <w:r w:rsidRPr="294730FF" w:rsidR="00640FBC">
        <w:rPr>
          <w:lang w:val="en-US"/>
        </w:rPr>
        <w:t>• Environment standardization across development and production systems</w:t>
      </w:r>
      <w:r>
        <w:br/>
      </w:r>
      <w:r w:rsidRPr="294730FF" w:rsidR="00640FBC">
        <w:rPr>
          <w:lang w:val="en-US"/>
        </w:rPr>
        <w:t>• Performance tuning through parameter optimization</w:t>
      </w:r>
      <w:r>
        <w:br/>
      </w:r>
      <w:r w:rsidRPr="294730FF" w:rsidR="00640FBC">
        <w:rPr>
          <w:lang w:val="en-US"/>
        </w:rPr>
        <w:t>• AI model deployment and lifecycle governance</w:t>
      </w:r>
      <w:r>
        <w:br/>
      </w:r>
      <w:r>
        <w:br/>
      </w:r>
      <w:r w:rsidRPr="294730FF" w:rsidR="00640FBC">
        <w:rPr>
          <w:lang w:val="en-US"/>
        </w:rPr>
        <w:t>Thought-Leadership Insight:</w:t>
      </w:r>
      <w:r>
        <w:br/>
      </w:r>
      <w:r>
        <w:br/>
      </w:r>
      <w:r w:rsidRPr="294730FF" w:rsidR="00640FBC">
        <w:rPr>
          <w:lang w:val="en-US"/>
        </w:rPr>
        <w:t>As organizations adopt AI and cloud technologies, configuration professionals are becoming the operational guardians of digital trust and system reliability.</w:t>
      </w:r>
      <w:r>
        <w:br/>
      </w:r>
      <w:r>
        <w:br/>
      </w:r>
      <w:r w:rsidR="00640FBC">
        <w:drawing>
          <wp:inline wp14:editId="0C5879B4" wp14:anchorId="262886FE">
            <wp:extent cx="5731510" cy="3143250"/>
            <wp:effectExtent l="0" t="0" r="2540" b="0"/>
            <wp:docPr id="108736798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367982" name=""/>
                    <pic:cNvPicPr/>
                  </pic:nvPicPr>
                  <pic:blipFill>
                    <a:blip xmlns:r="http://schemas.openxmlformats.org/officeDocument/2006/relationships" r:embed="rId10"/>
                    <a:stretch>
                      <a:fillRect/>
                    </a:stretch>
                  </pic:blipFill>
                  <pic:spPr>
                    <a:xfrm>
                      <a:off x="0" y="0"/>
                      <a:ext cx="5731510" cy="3143250"/>
                    </a:xfrm>
                    <a:prstGeom prst="rect">
                      <a:avLst/>
                    </a:prstGeom>
                  </pic:spPr>
                </pic:pic>
              </a:graphicData>
            </a:graphic>
          </wp:inline>
        </w:drawing>
      </w:r>
      <w:r>
        <w:br/>
      </w:r>
      <w:r>
        <w:br/>
      </w:r>
      <w:r w:rsidRPr="294730FF" w:rsidR="00640FBC">
        <w:rPr>
          <w:lang w:val="en-US"/>
        </w:rPr>
        <w:t>Configuration Governance: A Competitive Advantage in Regulated Industries</w:t>
      </w:r>
      <w:r>
        <w:br/>
      </w:r>
      <w:r>
        <w:br/>
      </w:r>
      <w:r w:rsidRPr="294730FF" w:rsidR="00640FBC">
        <w:rPr>
          <w:lang w:val="en-US"/>
        </w:rPr>
        <w:t xml:space="preserve">Government and enterprise organizations </w:t>
      </w:r>
      <w:r w:rsidRPr="294730FF" w:rsidR="00640FBC">
        <w:rPr>
          <w:lang w:val="en-US"/>
        </w:rPr>
        <w:t>operate</w:t>
      </w:r>
      <w:r w:rsidRPr="294730FF" w:rsidR="00640FBC">
        <w:rPr>
          <w:lang w:val="en-US"/>
        </w:rPr>
        <w:t xml:space="preserve"> within increasingly complex regulatory environments. Compliance requirements related to data privacy, cybersecurity, and audit transparency are expanding globally.</w:t>
      </w:r>
      <w:r>
        <w:br/>
      </w:r>
      <w:r>
        <w:br/>
      </w:r>
      <w:r w:rsidRPr="294730FF" w:rsidR="00640FBC">
        <w:rPr>
          <w:lang w:val="en-US"/>
        </w:rPr>
        <w:t xml:space="preserve">Configuration governance plays a critical role in helping organizations </w:t>
      </w:r>
      <w:r w:rsidRPr="294730FF" w:rsidR="00640FBC">
        <w:rPr>
          <w:lang w:val="en-US"/>
        </w:rPr>
        <w:t>maintain</w:t>
      </w:r>
      <w:r w:rsidRPr="294730FF" w:rsidR="00640FBC">
        <w:rPr>
          <w:lang w:val="en-US"/>
        </w:rPr>
        <w:t xml:space="preserve"> compliance without sacrificing agility. Structured configuration frameworks create traceable deployment processes, enforce policy standards, and reduce system vulnerabilities.</w:t>
      </w:r>
      <w:r>
        <w:br/>
      </w:r>
      <w:r>
        <w:br/>
      </w:r>
      <w:r w:rsidRPr="294730FF" w:rsidR="00640FBC">
        <w:rPr>
          <w:lang w:val="en-US"/>
        </w:rPr>
        <w:t>Organizations that invest in configuration governance often experience:</w:t>
      </w:r>
      <w:r>
        <w:br/>
      </w:r>
      <w:r w:rsidRPr="294730FF" w:rsidR="00640FBC">
        <w:rPr>
          <w:lang w:val="en-US"/>
        </w:rPr>
        <w:t>• Reduced audit preparation time</w:t>
      </w:r>
      <w:r>
        <w:br/>
      </w:r>
      <w:r w:rsidRPr="294730FF" w:rsidR="00640FBC">
        <w:rPr>
          <w:lang w:val="en-US"/>
        </w:rPr>
        <w:t>• Stronger cybersecurity posture</w:t>
      </w:r>
      <w:r>
        <w:br/>
      </w:r>
      <w:r w:rsidRPr="294730FF" w:rsidR="00640FBC">
        <w:rPr>
          <w:lang w:val="en-US"/>
        </w:rPr>
        <w:t>• Improved incident response capabilities</w:t>
      </w:r>
      <w:r>
        <w:br/>
      </w:r>
      <w:r w:rsidRPr="294730FF" w:rsidR="00640FBC">
        <w:rPr>
          <w:lang w:val="en-US"/>
        </w:rPr>
        <w:t>• Lower operational risk exposure</w:t>
      </w:r>
      <w:r>
        <w:br/>
      </w:r>
      <w:r w:rsidRPr="294730FF" w:rsidR="00640FBC">
        <w:rPr>
          <w:lang w:val="en-US"/>
        </w:rPr>
        <w:t>• Greater stakeholder confidence in digital systems</w:t>
      </w:r>
      <w:r>
        <w:br/>
      </w:r>
      <w:r>
        <w:br/>
      </w:r>
      <w:r>
        <w:br/>
      </w:r>
      <w:r>
        <w:br/>
      </w:r>
      <w:r w:rsidRPr="294730FF" w:rsidR="00640FBC">
        <w:rPr>
          <w:lang w:val="en-US"/>
        </w:rPr>
        <w:t>Building Organizational Knowledge Through Configuration Standardization</w:t>
      </w:r>
      <w:r>
        <w:br/>
      </w:r>
      <w:r>
        <w:br/>
      </w:r>
      <w:r w:rsidRPr="294730FF" w:rsidR="00640FBC">
        <w:rPr>
          <w:lang w:val="en-US"/>
        </w:rPr>
        <w:t xml:space="preserve">Technology transformation is not sustainable without knowledge continuity. As organizations scale their digital infrastructure, configuration standardization becomes essential for </w:t>
      </w:r>
      <w:r w:rsidRPr="294730FF" w:rsidR="00640FBC">
        <w:rPr>
          <w:lang w:val="en-US"/>
        </w:rPr>
        <w:t>maintaining</w:t>
      </w:r>
      <w:r w:rsidRPr="294730FF" w:rsidR="00640FBC">
        <w:rPr>
          <w:lang w:val="en-US"/>
        </w:rPr>
        <w:t xml:space="preserve"> consistency across teams and projects.</w:t>
      </w:r>
      <w:r>
        <w:br/>
      </w:r>
      <w:r>
        <w:br/>
      </w:r>
      <w:r w:rsidRPr="294730FF" w:rsidR="00640FBC">
        <w:rPr>
          <w:lang w:val="en-US"/>
        </w:rPr>
        <w:t>Configuration documentation, reusable templates, and automated deployment pipelines support enterprise knowledge management strategies and reduce onboarding complexity for engineering teams.</w:t>
      </w:r>
      <w:r>
        <w:br/>
      </w:r>
      <w:r>
        <w:br/>
      </w:r>
      <w:r w:rsidRPr="294730FF" w:rsidR="00640FBC">
        <w:rPr>
          <w:lang w:val="en-US"/>
        </w:rPr>
        <w:t>Thought-Leadership Insight:</w:t>
      </w:r>
      <w:r>
        <w:br/>
      </w:r>
      <w:r>
        <w:br/>
      </w:r>
      <w:r w:rsidRPr="294730FF" w:rsidR="00640FBC">
        <w:rPr>
          <w:lang w:val="en-US"/>
        </w:rPr>
        <w:t>Mature digital organizations treat configuration assets as intellectual property that drives long-term innovation and operational resilience.</w:t>
      </w:r>
      <w:r>
        <w:br/>
      </w:r>
      <w:r>
        <w:br/>
      </w:r>
      <w:r>
        <w:br/>
      </w:r>
      <w:r>
        <w:br/>
      </w:r>
      <w:r w:rsidRPr="294730FF" w:rsidR="00640FBC">
        <w:rPr>
          <w:lang w:val="en-US"/>
        </w:rPr>
        <w:t xml:space="preserve">The Future of Configuration Intelligence in </w:t>
      </w:r>
      <w:r w:rsidRPr="294730FF" w:rsidR="00640FBC">
        <w:rPr>
          <w:lang w:val="en-US"/>
        </w:rPr>
        <w:t>GovTech</w:t>
      </w:r>
      <w:r>
        <w:br/>
      </w:r>
      <w:r>
        <w:br/>
      </w:r>
      <w:r w:rsidRPr="294730FF" w:rsidR="00640FBC">
        <w:rPr>
          <w:lang w:val="en-US"/>
        </w:rPr>
        <w:t>Looking ahead, configuration intelligence is expected to evolve significantly as artificial intelligence and automation reshape enterprise technology operations.</w:t>
      </w:r>
      <w:r>
        <w:br/>
      </w:r>
      <w:r>
        <w:br/>
      </w:r>
      <w:r w:rsidRPr="294730FF" w:rsidR="00640FBC">
        <w:rPr>
          <w:lang w:val="en-US"/>
        </w:rPr>
        <w:t>Emerging trends include:</w:t>
      </w:r>
      <w:r>
        <w:br/>
      </w:r>
      <w:r w:rsidRPr="294730FF" w:rsidR="00640FBC">
        <w:rPr>
          <w:lang w:val="en-US"/>
        </w:rPr>
        <w:t>• AI-assisted configuration optimization</w:t>
      </w:r>
      <w:r>
        <w:br/>
      </w:r>
      <w:r w:rsidRPr="294730FF" w:rsidR="00640FBC">
        <w:rPr>
          <w:lang w:val="en-US"/>
        </w:rPr>
        <w:t>• Self-healing infrastructure using predictive automation</w:t>
      </w:r>
      <w:r>
        <w:br/>
      </w:r>
      <w:r w:rsidRPr="294730FF" w:rsidR="00640FBC">
        <w:rPr>
          <w:lang w:val="en-US"/>
        </w:rPr>
        <w:t>• Low-code and no-code platform governance models</w:t>
      </w:r>
      <w:r>
        <w:br/>
      </w:r>
      <w:r w:rsidRPr="294730FF" w:rsidR="00640FBC">
        <w:rPr>
          <w:lang w:val="en-US"/>
        </w:rPr>
        <w:t>• Real-time compliance validation using intelligent rule engines</w:t>
      </w:r>
      <w:r>
        <w:br/>
      </w:r>
      <w:r w:rsidRPr="294730FF" w:rsidR="00640FBC">
        <w:rPr>
          <w:lang w:val="en-US"/>
        </w:rPr>
        <w:t>• Dynamic workflow personalization using machine learning insights</w:t>
      </w:r>
      <w:r>
        <w:br/>
      </w:r>
      <w:r>
        <w:br/>
      </w:r>
      <w:r w:rsidRPr="294730FF" w:rsidR="00640FBC">
        <w:rPr>
          <w:lang w:val="en-US"/>
        </w:rPr>
        <w:t xml:space="preserve">As </w:t>
      </w:r>
      <w:r w:rsidRPr="294730FF" w:rsidR="00640FBC">
        <w:rPr>
          <w:lang w:val="en-US"/>
        </w:rPr>
        <w:t>GovTech</w:t>
      </w:r>
      <w:r w:rsidRPr="294730FF" w:rsidR="00640FBC">
        <w:rPr>
          <w:lang w:val="en-US"/>
        </w:rPr>
        <w:t xml:space="preserve"> initiatives expand globally, configuration analysts will increasingly contribute to strategic digital policy implementation, not just system deployment.</w:t>
      </w:r>
      <w:r>
        <w:br/>
      </w:r>
      <w:r>
        <w:br/>
      </w:r>
      <w:r>
        <w:br/>
      </w:r>
      <w:r>
        <w:br/>
      </w:r>
      <w:r w:rsidRPr="294730FF" w:rsidR="00640FBC">
        <w:rPr>
          <w:lang w:val="en-US"/>
        </w:rPr>
        <w:t>Leadership Reflection: The Human Side of Digital Transformation</w:t>
      </w:r>
      <w:r>
        <w:br/>
      </w:r>
      <w:r>
        <w:br/>
      </w:r>
      <w:r w:rsidRPr="294730FF" w:rsidR="00640FBC">
        <w:rPr>
          <w:lang w:val="en-US"/>
        </w:rPr>
        <w:t xml:space="preserve">Despite rapid technological advancement, successful digital transformation </w:t>
      </w:r>
      <w:r w:rsidRPr="294730FF" w:rsidR="00640FBC">
        <w:rPr>
          <w:lang w:val="en-US"/>
        </w:rPr>
        <w:t>remains</w:t>
      </w:r>
      <w:r w:rsidRPr="294730FF" w:rsidR="00640FBC">
        <w:rPr>
          <w:lang w:val="en-US"/>
        </w:rPr>
        <w:t xml:space="preserve"> fundamentally human-centered. </w:t>
      </w:r>
      <w:r w:rsidRPr="294730FF" w:rsidR="00640FBC">
        <w:rPr>
          <w:lang w:val="en-US"/>
        </w:rPr>
        <w:t>Configuration</w:t>
      </w:r>
      <w:r w:rsidRPr="294730FF" w:rsidR="00640FBC">
        <w:rPr>
          <w:lang w:val="en-US"/>
        </w:rPr>
        <w:t xml:space="preserve"> intelligence requires cross-functional collaboration between engineers, business leaders, compliance officers, and user experience designers.</w:t>
      </w:r>
      <w:r>
        <w:br/>
      </w:r>
      <w:r>
        <w:br/>
      </w:r>
      <w:r w:rsidRPr="294730FF" w:rsidR="00640FBC">
        <w:rPr>
          <w:lang w:val="en-US"/>
        </w:rPr>
        <w:t>The most impactful digital initiatives occur when technology is configured not just to function efficiently, but to serve communities effectively.</w:t>
      </w:r>
      <w:r>
        <w:br/>
      </w:r>
      <w:r>
        <w:br/>
      </w:r>
      <w:r w:rsidR="00A90029">
        <w:drawing>
          <wp:inline wp14:editId="060B6B2A" wp14:anchorId="7E219682">
            <wp:extent cx="5731510" cy="3251835"/>
            <wp:effectExtent l="0" t="0" r="2540" b="5715"/>
            <wp:docPr id="199293796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937963" name=""/>
                    <pic:cNvPicPr/>
                  </pic:nvPicPr>
                  <pic:blipFill>
                    <a:blip xmlns:r="http://schemas.openxmlformats.org/officeDocument/2006/relationships" r:embed="rId11"/>
                    <a:stretch>
                      <a:fillRect/>
                    </a:stretch>
                  </pic:blipFill>
                  <pic:spPr>
                    <a:xfrm>
                      <a:off x="0" y="0"/>
                      <a:ext cx="5731510" cy="3251835"/>
                    </a:xfrm>
                    <a:prstGeom prst="rect">
                      <a:avLst/>
                    </a:prstGeom>
                  </pic:spPr>
                </pic:pic>
              </a:graphicData>
            </a:graphic>
          </wp:inline>
        </w:drawing>
      </w:r>
      <w:r>
        <w:br/>
      </w:r>
      <w:r>
        <w:br/>
      </w:r>
      <w:r w:rsidRPr="294730FF" w:rsidR="00640FBC">
        <w:rPr>
          <w:lang w:val="en-US"/>
        </w:rPr>
        <w:t>Conclusion: Configuration Intelligence as the Foundation of Sustainable Innovation</w:t>
      </w:r>
      <w:r>
        <w:br/>
      </w:r>
      <w:r>
        <w:br/>
      </w:r>
      <w:r w:rsidRPr="294730FF" w:rsidR="00640FBC">
        <w:rPr>
          <w:lang w:val="en-US"/>
        </w:rPr>
        <w:t xml:space="preserve">Digital transformation investments will continue to accelerate across government and enterprise sectors. While emerging technologies will capture attention, configuration intelligence will </w:t>
      </w:r>
      <w:r w:rsidRPr="294730FF" w:rsidR="00640FBC">
        <w:rPr>
          <w:lang w:val="en-US"/>
        </w:rPr>
        <w:t>remain</w:t>
      </w:r>
      <w:r w:rsidRPr="294730FF" w:rsidR="00640FBC">
        <w:rPr>
          <w:lang w:val="en-US"/>
        </w:rPr>
        <w:t xml:space="preserve"> the structural foundation that </w:t>
      </w:r>
      <w:r w:rsidRPr="294730FF" w:rsidR="00640FBC">
        <w:rPr>
          <w:lang w:val="en-US"/>
        </w:rPr>
        <w:t>determines</w:t>
      </w:r>
      <w:r w:rsidRPr="294730FF" w:rsidR="00640FBC">
        <w:rPr>
          <w:lang w:val="en-US"/>
        </w:rPr>
        <w:t xml:space="preserve"> long-term success.</w:t>
      </w:r>
      <w:r>
        <w:br/>
      </w:r>
      <w:r>
        <w:br/>
      </w:r>
      <w:r w:rsidRPr="294730FF" w:rsidR="00640FBC">
        <w:rPr>
          <w:lang w:val="en-US"/>
        </w:rPr>
        <w:t>Organizations that recognize configuration as a strategic capability will lead in delivering scalable, secure, and citizen-focused digital services.</w:t>
      </w:r>
      <w:r>
        <w:br/>
      </w:r>
      <w:r>
        <w:br/>
      </w:r>
      <w:r w:rsidRPr="294730FF" w:rsidR="00640FBC">
        <w:rPr>
          <w:lang w:val="en-US"/>
        </w:rPr>
        <w:t xml:space="preserve">As configuration analysts, we are uniquely positioned to bridge technology execution with business strategy. By designing intelligent configuration frameworks, we are not just supporting digital </w:t>
      </w:r>
      <w:r w:rsidRPr="294730FF" w:rsidR="00640FBC">
        <w:rPr>
          <w:lang w:val="en-US"/>
        </w:rPr>
        <w:t>transformation we</w:t>
      </w:r>
      <w:r w:rsidRPr="294730FF" w:rsidR="00640FBC">
        <w:rPr>
          <w:lang w:val="en-US"/>
        </w:rPr>
        <w:t xml:space="preserve"> are shaping the future of how organizations serve their stakeholders.</w:t>
      </w:r>
    </w:p>
    <w:sectPr w:rsidR="003A55F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CA"/>
    <w:rsid w:val="00000000"/>
    <w:rsid w:val="002D47B5"/>
    <w:rsid w:val="003A55F2"/>
    <w:rsid w:val="00542CBE"/>
    <w:rsid w:val="00640FBC"/>
    <w:rsid w:val="00677C82"/>
    <w:rsid w:val="00873BB1"/>
    <w:rsid w:val="00A90029"/>
    <w:rsid w:val="00F166CA"/>
    <w:rsid w:val="00F450F1"/>
    <w:rsid w:val="294730FF"/>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44A3F"/>
  <w15:chartTrackingRefBased/>
  <w15:docId w15:val="{098E4E71-EEA5-419C-BB84-F9DEEEEFE5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png" Id="rId11" /><Relationship Type="http://schemas.openxmlformats.org/officeDocument/2006/relationships/settings" Target="settings.xml" Id="rId5" /><Relationship Type="http://schemas.openxmlformats.org/officeDocument/2006/relationships/image" Target="media/image4.png" Id="rId10" /><Relationship Type="http://schemas.openxmlformats.org/officeDocument/2006/relationships/styles" Target="styles.xml" Id="rId4" /><Relationship Type="http://schemas.openxmlformats.org/officeDocument/2006/relationships/image" Target="media/image3.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d178024-aa1d-4e2e-8afe-de6f61b1466a">
      <Terms xmlns="http://schemas.microsoft.com/office/infopath/2007/PartnerControls"/>
    </lcf76f155ced4ddcb4097134ff3c332f>
    <TaxCatchAll xmlns="e0a1af2b-e272-46fe-a411-623125e7f08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A3A37F9F911F4D8A401A5A3D6C0C08" ma:contentTypeVersion="11" ma:contentTypeDescription="Create a new document." ma:contentTypeScope="" ma:versionID="84088662b0b5c8dc0a617003241f883f">
  <xsd:schema xmlns:xsd="http://www.w3.org/2001/XMLSchema" xmlns:xs="http://www.w3.org/2001/XMLSchema" xmlns:p="http://schemas.microsoft.com/office/2006/metadata/properties" xmlns:ns2="ad178024-aa1d-4e2e-8afe-de6f61b1466a" xmlns:ns3="e0a1af2b-e272-46fe-a411-623125e7f081" targetNamespace="http://schemas.microsoft.com/office/2006/metadata/properties" ma:root="true" ma:fieldsID="a6f0fb8f290f0b7e2f3cc5455237db8b" ns2:_="" ns3:_="">
    <xsd:import namespace="ad178024-aa1d-4e2e-8afe-de6f61b1466a"/>
    <xsd:import namespace="e0a1af2b-e272-46fe-a411-623125e7f0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178024-aa1d-4e2e-8afe-de6f61b146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14fabb6-0a77-42ae-84af-5a376c7e9e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a1af2b-e272-46fe-a411-623125e7f08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cb9c4b-5b05-4204-9a6b-d23ad2ea241e}" ma:internalName="TaxCatchAll" ma:showField="CatchAllData" ma:web="e0a1af2b-e272-46fe-a411-623125e7f0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F37C8-B78D-4C7D-9FC3-8771D1B0C25B}">
  <ds:schemaRefs>
    <ds:schemaRef ds:uri="http://schemas.microsoft.com/office/2006/metadata/properties"/>
    <ds:schemaRef ds:uri="http://schemas.microsoft.com/office/infopath/2007/PartnerControls"/>
    <ds:schemaRef ds:uri="ad178024-aa1d-4e2e-8afe-de6f61b1466a"/>
    <ds:schemaRef ds:uri="e0a1af2b-e272-46fe-a411-623125e7f081"/>
  </ds:schemaRefs>
</ds:datastoreItem>
</file>

<file path=customXml/itemProps2.xml><?xml version="1.0" encoding="utf-8"?>
<ds:datastoreItem xmlns:ds="http://schemas.openxmlformats.org/officeDocument/2006/customXml" ds:itemID="{C38D5820-76D1-4B9C-8E46-1A254E8319D8}">
  <ds:schemaRefs>
    <ds:schemaRef ds:uri="http://schemas.microsoft.com/sharepoint/v3/contenttype/forms"/>
  </ds:schemaRefs>
</ds:datastoreItem>
</file>

<file path=customXml/itemProps3.xml><?xml version="1.0" encoding="utf-8"?>
<ds:datastoreItem xmlns:ds="http://schemas.openxmlformats.org/officeDocument/2006/customXml" ds:itemID="{D28DC143-807F-4BFA-B594-0EFC83699B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178024-aa1d-4e2e-8afe-de6f61b1466a"/>
    <ds:schemaRef ds:uri="e0a1af2b-e272-46fe-a411-623125e7f0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To Word</dc:title>
  <dc:subject/>
  <dc:creator>Geoffrey Audia</dc:creator>
  <cp:keywords/>
  <dc:description/>
  <cp:lastModifiedBy>Nigel Watunu</cp:lastModifiedBy>
  <cp:revision>3</cp:revision>
  <dcterms:created xsi:type="dcterms:W3CDTF">2026-02-16T19:01:00Z</dcterms:created>
  <dcterms:modified xsi:type="dcterms:W3CDTF">2026-02-17T09:11:41Z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0x010100F6A3A37F9F911F4D8A401A5A3D6C0C08</vt:lpwstr>
  </property>
  <property fmtid="{D5CDD505-2E9C-101B-9397-08002B2CF9AE}" pid="3" name="MediaServiceImageTags">
    <vt:lpwstr/>
  </property>
</Properties>
</file>