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rFonts w:ascii="Calibri" w:cs="Calibri" w:eastAsia="Calibri" w:hAnsi="Calibri"/>
          <w:b/>
          <w:bCs/>
          <w:color w:val="1F5E46"/>
          <w:sz w:val="22"/>
          <w:szCs w:val="22"/>
        </w:rPr>
        <w:t xml:space="preserve">ALCALDÍA DE ENVIGADO · INSPECCIÓN AMBIENTAL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2372A"/>
          <w:sz w:val="60"/>
          <w:szCs w:val="60"/>
        </w:rPr>
        <w:t xml:space="preserve">Informe ejecutivo de avances</w:t>
      </w:r>
    </w:p>
    <w:p>
      <w:pPr>
        <w:spacing w:after="600"/>
      </w:pPr>
      <w:r>
        <w:rPr>
          <w:rFonts w:ascii="Calibri" w:cs="Calibri" w:eastAsia="Calibri" w:hAnsi="Calibri"/>
          <w:color w:val="5A6B62"/>
          <w:sz w:val="30"/>
          <w:szCs w:val="30"/>
        </w:rPr>
        <w:t xml:space="preserve">CRM de Inspección y Vigilancia Ambiental: modelado de procesos BPMN y plataforma EspoCRM</w:t>
      </w:r>
    </w:p>
    <w:p>
      <w:pPr>
        <w:pBdr>
          <w:top w:val="single" w:color="1F5E46" w:sz="12" w:space="8"/>
        </w:pBd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Elaborado por: </w:t>
      </w:r>
      <w:r>
        <w:rPr>
          <w:rFonts w:ascii="Calibri" w:cs="Calibri" w:eastAsia="Calibri" w:hAnsi="Calibri"/>
          <w:sz w:val="22"/>
          <w:szCs w:val="22"/>
        </w:rPr>
        <w:t xml:space="preserve">Geotrends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Fecha de corte: </w:t>
      </w:r>
      <w:r>
        <w:rPr>
          <w:rFonts w:ascii="Calibri" w:cs="Calibri" w:eastAsia="Calibri" w:hAnsi="Calibri"/>
          <w:sz w:val="22"/>
          <w:szCs w:val="22"/>
        </w:rPr>
        <w:t xml:space="preserve">23 de septiembre de 2026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Fuentes: </w:t>
      </w:r>
      <w:r>
        <w:rPr>
          <w:rFonts w:ascii="Calibri" w:cs="Calibri" w:eastAsia="Calibri" w:hAnsi="Calibri"/>
          <w:sz w:val="22"/>
          <w:szCs w:val="22"/>
        </w:rPr>
        <w:t xml:space="preserve">repositorio InspeccionAmbiental-Workflow (BPMN y modelo funcional), visor web inspeccionambiental.deploy.geotrends.co y repositorio CRMALCALDIA (EspoCRM 10.0.6).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ageBreakBefore/>
        <w:spacing w:after="200"/>
      </w:pPr>
      <w:r>
        <w:rPr>
          <w:rFonts w:ascii="Calibri" w:cs="Calibri" w:eastAsia="Calibri" w:hAnsi="Calibri"/>
          <w:b/>
          <w:bCs/>
          <w:color w:val="1F5E46"/>
          <w:sz w:val="32"/>
          <w:szCs w:val="32"/>
        </w:rP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line="276"/>
        <w:rPr>
          <w:i/>
          <w:iCs/>
          <w:color w:val="5A6B62"/>
          <w:sz w:val="18"/>
          <w:szCs w:val="18"/>
        </w:rPr>
      </w:pPr>
      <w:r>
        <w:rPr>
          <w:rFonts w:ascii="Calibri" w:cs="Calibri" w:eastAsia="Calibri" w:hAnsi="Calibri"/>
          <w:i/>
          <w:iCs/>
          <w:color w:val="5A6B62"/>
          <w:sz w:val="18"/>
          <w:szCs w:val="18"/>
        </w:rPr>
        <w:t xml:space="preserve">Nota: si el índice aparece vacío, en Word haga clic derecho sobre él y elija «Actualizar campo».</w:t>
      </w:r>
    </w:p>
    <w:p>
      <w:pPr>
        <w:pStyle w:val="Heading1"/>
        <w:pageBreakBefore/>
        <w:spacing w:after="200"/>
      </w:pPr>
      <w:r>
        <w:rPr>
          <w:rFonts w:ascii="Calibri" w:cs="Calibri" w:eastAsia="Calibri" w:hAnsi="Calibri"/>
        </w:rPr>
        <w:t xml:space="preserve">1. Resumen ejecutivo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Este informe presenta el avance del CRM de Inspección y Vigilancia Ambiental en dos frentes complementarios: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Modelado de procesos (InspeccionAmbiental-Workflow). </w:t>
      </w:r>
      <w:r>
        <w:rPr>
          <w:rFonts w:ascii="Calibri" w:cs="Calibri" w:eastAsia="Calibri" w:hAnsi="Calibri"/>
          <w:sz w:val="22"/>
          <w:szCs w:val="22"/>
        </w:rPr>
        <w:t xml:space="preserve">Levantamiento y modelado en BPMN 2.0 del procedimiento institucional, con 29 diagramas activos organizados en cuatro niveles (N0 a N3). Se publicaron en un visor web con matrices de roles, formatos, términos, tiempos, medidas correctivas, modelo de datos, reglas y RNMC.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Plataforma CRM (EspoCRM). </w:t>
      </w:r>
      <w:r>
        <w:rPr>
          <w:rFonts w:ascii="Calibri" w:cs="Calibri" w:eastAsia="Calibri" w:hAnsi="Calibri"/>
          <w:sz w:val="22"/>
          <w:szCs w:val="22"/>
        </w:rPr>
        <w:t xml:space="preserve">Implementación sobre EspoCRM 10.0.6 y PostgreSQL de las entidades, pantallas, roles, alertas y documentos que materializan cada BPMN. Los 29 procesos activos tienen su correspondencia en el CRM (29/29).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Cifras clave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600"/>
        <w:gridCol w:w="3560"/>
      </w:tblGrid>
      <w:tr>
        <w:trPr>
          <w:tblHeader/>
        </w:trPr>
        <w:tc>
          <w:tcPr>
            <w:tcW w:type="dxa" w:w="42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shd w:fill="1F5E4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16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shd w:fill="1F5E4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356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shd w:fill="1F5E4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Fuente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8"/>
                <w:szCs w:val="18"/>
              </w:rPr>
              <w:t xml:space="preserve">Diagramas BPMN activos</w:t>
            </w:r>
          </w:p>
        </w:tc>
        <w:tc>
          <w:tcPr>
            <w:tcW w:type="dxa" w:w="16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8"/>
                <w:szCs w:val="18"/>
              </w:rPr>
              <w:t xml:space="preserve">29</w:t>
            </w:r>
          </w:p>
        </w:tc>
        <w:tc>
          <w:tcPr>
            <w:tcW w:type="dxa" w:w="356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8"/>
                <w:szCs w:val="18"/>
              </w:rPr>
              <w:t xml:space="preserve">viewer/public/config.json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8"/>
                <w:szCs w:val="18"/>
              </w:rPr>
              <w:t xml:space="preserve">Distribución por nivel</w:t>
            </w:r>
          </w:p>
        </w:tc>
        <w:tc>
          <w:tcPr>
            <w:tcW w:type="dxa" w:w="16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8"/>
                <w:szCs w:val="18"/>
              </w:rPr>
              <w:t xml:space="preserve">N0: 1 · N1: 8 · N2: 13 · N3: 7</w:t>
            </w:r>
          </w:p>
        </w:tc>
        <w:tc>
          <w:tcPr>
            <w:tcW w:type="dxa" w:w="356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8"/>
                <w:szCs w:val="18"/>
              </w:rPr>
              <w:t xml:space="preserve">Catálogo de diagramas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8"/>
                <w:szCs w:val="18"/>
              </w:rPr>
              <w:t xml:space="preserve">Entidades del modelo de dominio / relaciones</w:t>
            </w:r>
          </w:p>
        </w:tc>
        <w:tc>
          <w:tcPr>
            <w:tcW w:type="dxa" w:w="16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8"/>
                <w:szCs w:val="18"/>
              </w:rPr>
              <w:t xml:space="preserve">37 / 41</w:t>
            </w:r>
          </w:p>
        </w:tc>
        <w:tc>
          <w:tcPr>
            <w:tcW w:type="dxa" w:w="356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8"/>
                <w:szCs w:val="18"/>
              </w:rPr>
              <w:t xml:space="preserve">domain.json v2.0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8"/>
                <w:szCs w:val="18"/>
              </w:rPr>
              <w:t xml:space="preserve">Reglas de negocio documentadas</w:t>
            </w:r>
          </w:p>
        </w:tc>
        <w:tc>
          <w:tcPr>
            <w:tcW w:type="dxa" w:w="16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8"/>
                <w:szCs w:val="18"/>
              </w:rPr>
              <w:t xml:space="preserve">53</w:t>
            </w:r>
          </w:p>
        </w:tc>
        <w:tc>
          <w:tcPr>
            <w:tcW w:type="dxa" w:w="356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8"/>
                <w:szCs w:val="18"/>
              </w:rPr>
              <w:t xml:space="preserve">rules.json v2.0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8"/>
                <w:szCs w:val="18"/>
              </w:rPr>
              <w:t xml:space="preserve">Formatos y soportes catalogados</w:t>
            </w:r>
          </w:p>
        </w:tc>
        <w:tc>
          <w:tcPr>
            <w:tcW w:type="dxa" w:w="16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8"/>
                <w:szCs w:val="18"/>
              </w:rPr>
              <w:t xml:space="preserve">32</w:t>
            </w:r>
          </w:p>
        </w:tc>
        <w:tc>
          <w:tcPr>
            <w:tcW w:type="dxa" w:w="356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8"/>
                <w:szCs w:val="18"/>
              </w:rPr>
              <w:t xml:space="preserve">formatos.json v2.0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8"/>
                <w:szCs w:val="18"/>
              </w:rPr>
              <w:t xml:space="preserve">Roles funcionales modelados</w:t>
            </w:r>
          </w:p>
        </w:tc>
        <w:tc>
          <w:tcPr>
            <w:tcW w:type="dxa" w:w="16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8"/>
                <w:szCs w:val="18"/>
              </w:rPr>
              <w:t xml:space="preserve">17</w:t>
            </w:r>
          </w:p>
        </w:tc>
        <w:tc>
          <w:tcPr>
            <w:tcW w:type="dxa" w:w="356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8"/>
                <w:szCs w:val="18"/>
              </w:rPr>
              <w:t xml:space="preserve">roles.json v2.0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8"/>
                <w:szCs w:val="18"/>
              </w:rPr>
              <w:t xml:space="preserve">Términos del vocabulario controlado</w:t>
            </w:r>
          </w:p>
        </w:tc>
        <w:tc>
          <w:tcPr>
            <w:tcW w:type="dxa" w:w="16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8"/>
                <w:szCs w:val="18"/>
              </w:rPr>
              <w:t xml:space="preserve">95</w:t>
            </w:r>
          </w:p>
        </w:tc>
        <w:tc>
          <w:tcPr>
            <w:tcW w:type="dxa" w:w="356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8"/>
                <w:szCs w:val="18"/>
              </w:rPr>
              <w:t xml:space="preserve">terminos.json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8"/>
                <w:szCs w:val="18"/>
              </w:rPr>
              <w:t xml:space="preserve">Relojes legales / institucionales</w:t>
            </w:r>
          </w:p>
        </w:tc>
        <w:tc>
          <w:tcPr>
            <w:tcW w:type="dxa" w:w="16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8"/>
                <w:szCs w:val="18"/>
              </w:rPr>
              <w:t xml:space="preserve">31</w:t>
            </w:r>
          </w:p>
        </w:tc>
        <w:tc>
          <w:tcPr>
            <w:tcW w:type="dxa" w:w="356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8"/>
                <w:szCs w:val="18"/>
              </w:rPr>
              <w:t xml:space="preserve">tiempos.json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8"/>
                <w:szCs w:val="18"/>
              </w:rPr>
              <w:t xml:space="preserve">Comportamientos con medidas asociadas / tipos de medida</w:t>
            </w:r>
          </w:p>
        </w:tc>
        <w:tc>
          <w:tcPr>
            <w:tcW w:type="dxa" w:w="16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8"/>
                <w:szCs w:val="18"/>
              </w:rPr>
              <w:t xml:space="preserve">43 / 14</w:t>
            </w:r>
          </w:p>
        </w:tc>
        <w:tc>
          <w:tcPr>
            <w:tcW w:type="dxa" w:w="356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8"/>
                <w:szCs w:val="18"/>
              </w:rPr>
              <w:t xml:space="preserve">medidas_correctivas.json v1.1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8"/>
                <w:szCs w:val="18"/>
              </w:rPr>
              <w:t xml:space="preserve">Entidades configuradas en el CRM</w:t>
            </w:r>
          </w:p>
        </w:tc>
        <w:tc>
          <w:tcPr>
            <w:tcW w:type="dxa" w:w="16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8"/>
                <w:szCs w:val="18"/>
              </w:rPr>
              <w:t xml:space="preserve">43</w:t>
            </w:r>
          </w:p>
        </w:tc>
        <w:tc>
          <w:tcPr>
            <w:tcW w:type="dxa" w:w="356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8"/>
                <w:szCs w:val="18"/>
              </w:rPr>
              <w:t xml:space="preserve">espocrm-custom/Resources/metadata/entityDefs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8"/>
                <w:szCs w:val="18"/>
              </w:rPr>
              <w:t xml:space="preserve">BPMN con implementación en el CRM</w:t>
            </w:r>
          </w:p>
        </w:tc>
        <w:tc>
          <w:tcPr>
            <w:tcW w:type="dxa" w:w="16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8"/>
                <w:szCs w:val="18"/>
              </w:rPr>
              <w:t xml:space="preserve">29 de 29</w:t>
            </w:r>
          </w:p>
        </w:tc>
        <w:tc>
          <w:tcPr>
            <w:tcW w:type="dxa" w:w="356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8"/>
                <w:szCs w:val="18"/>
              </w:rPr>
              <w:t xml:space="preserve">PLAN-MODELO-FUNCIONAL-INSPECCION-AMBIENTAL.md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8"/>
                <w:szCs w:val="18"/>
              </w:rPr>
              <w:t xml:space="preserve">Usuarios de prueba por rol</w:t>
            </w:r>
          </w:p>
        </w:tc>
        <w:tc>
          <w:tcPr>
            <w:tcW w:type="dxa" w:w="16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8"/>
                <w:szCs w:val="18"/>
              </w:rPr>
              <w:t xml:space="preserve">14 + administrador</w:t>
            </w:r>
          </w:p>
        </w:tc>
        <w:tc>
          <w:tcPr>
            <w:tcW w:type="dxa" w:w="356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8"/>
                <w:szCs w:val="18"/>
              </w:rPr>
              <w:t xml:space="preserve">USUARIOS-DE-PRUEBA.md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8"/>
                <w:szCs w:val="18"/>
              </w:rPr>
              <w:t xml:space="preserve">Tareas programadas de alertas de vencimiento</w:t>
            </w:r>
          </w:p>
        </w:tc>
        <w:tc>
          <w:tcPr>
            <w:tcW w:type="dxa" w:w="16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8"/>
                <w:szCs w:val="18"/>
              </w:rPr>
              <w:t xml:space="preserve">2 (diarias, 7:00 a. m.)</w:t>
            </w:r>
          </w:p>
        </w:tc>
        <w:tc>
          <w:tcPr>
            <w:tcW w:type="dxa" w:w="356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8"/>
                <w:szCs w:val="18"/>
              </w:rPr>
              <w:t xml:space="preserve">scheduledJobs.json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Estado general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Hecho: </w:t>
      </w:r>
      <w:r>
        <w:rPr>
          <w:rFonts w:ascii="Calibri" w:cs="Calibri" w:eastAsia="Calibri" w:hAnsi="Calibri"/>
          <w:sz w:val="22"/>
          <w:szCs w:val="22"/>
        </w:rPr>
        <w:t xml:space="preserve">modelo de procesos completo y publicado; núcleo del CRM (radicación, asignación, visita, documentos PDF, tablero, línea de tiempo); fases 0, 1 y 2 del plan de implementación con todas las rutas jurídicas; alertas de los cinco plazos legales de mayor impacto.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 curso: </w:t>
      </w:r>
      <w:r>
        <w:rPr>
          <w:rFonts w:ascii="Calibri" w:cs="Calibri" w:eastAsia="Calibri" w:hAnsi="Calibri"/>
          <w:sz w:val="22"/>
          <w:szCs w:val="22"/>
        </w:rPr>
        <w:t xml:space="preserve">menú por rol (paso 3: vistas preseleccionadas), alineación de notificaciones restantes y ajuste fino de permisos (ACL) de los 9 roles nuevos.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Pendiente: </w:t>
      </w:r>
      <w:r>
        <w:rPr>
          <w:rFonts w:ascii="Calibri" w:cs="Calibri" w:eastAsia="Calibri" w:hAnsi="Calibri"/>
          <w:sz w:val="22"/>
          <w:szCs w:val="22"/>
        </w:rPr>
        <w:t xml:space="preserve">despliegue a producción (Dokploy) de las fases 0 a 2, validadas en el entorno local; cierre formal con checklist (Fase 3); sesiones de UAT y capacitación formal; validación institucional de los puntos marcados como POR VALIDAR.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5E46"/>
          <w:sz w:val="22"/>
          <w:szCs w:val="22"/>
        </w:rPr>
        <w:t xml:space="preserve">Nota sobre las pantallas: </w:t>
      </w:r>
      <w:r>
        <w:rPr>
          <w:rFonts w:ascii="Calibri" w:cs="Calibri" w:eastAsia="Calibri" w:hAnsi="Calibri"/>
          <w:sz w:val="22"/>
          <w:szCs w:val="22"/>
        </w:rPr>
        <w:t xml:space="preserve">las capturas del CRM de este informe se tomaron en el entorno de validación (Docker local) con datos de prueba. Las del modelo BPMN provienen del visor publicado.</w:t>
      </w:r>
    </w:p>
    <w:p>
      <w:pPr>
        <w:pStyle w:val="Heading1"/>
        <w:pageBreakBefore/>
        <w:spacing w:after="200"/>
      </w:pPr>
      <w:r>
        <w:rPr>
          <w:rFonts w:ascii="Calibri" w:cs="Calibri" w:eastAsia="Calibri" w:hAnsi="Calibri"/>
        </w:rPr>
        <w:t xml:space="preserve">2. Modelado de procesos: repositorio InspeccionAmbiental-Workflow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El repositorio InspeccionAmbiental-Workflow es la fuente autoritativa del flujo y del modelo funcional del CRM. Contiene los diagramas BPMN versionados, las especificaciones por subproceso, el modelo de dominio y las matrices funcionales que alimentan el visor web.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2.1 Regla de autoridad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BPMN activo: flujo y procedimiento autoritativo.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Norma vigente y procedimiento/formato institucional vigente: fundamento de competencia y operación.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JSON del visor: dominio, reglas, roles, formatos, términos y matriz de medidas que soportan el BPMN.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Markdown canónico: explicación y decisiones de modelado.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Versiones anteriores: se conservan como histórico y no son activas si no aparecen en config.json.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2.2 Fuentes normativas e institucionales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Ley 1801 de 2016 (Código Nacional de Seguridad y Convivencia) y modificaciones vigentes; Ley 2492 de 2025; Decreto 768 de 2025; Ley 2455 de 2025; Ley 2387 de 2024 / Ley 1333 de 2009.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Procedimientos municipales IV-P-004 (atención de solicitudes por afectación ambiental), IV-P-021 (Código de Policía y maltrato animal) e IV-P-028.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Guías documentales GD-G-014 y GD-G-021 y la TRD de la Inspección de Policía Ambiental.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Acta de reunión del 08-09-2026 como fuente de requerimientos y práctica institucional.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2.3 Estructura jerárquica y arquitectura del flujo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Los procesos se organizan en cuatro niveles: N0 (mapa maestro), N1 (subprocesos transversales), N2 (procedimientos o rutas específicas) y N3 (instructivos especializados). La arquitectura vigente 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Recepción y Radicación → Competencia y Clasificación → Relación de Casos → Gestión Técnica → Evaluación de Resultado y Definición de Ruta.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Desde la evaluación: cierre del Case sin expediente, nueva gestión técnica, Proceso Verbal Inmediato, Registro/Permiso de Canino o Preparación y Apertura de Expediente.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Desde el expediente: PVA de convivencia, Recursos Naturales, Convivencia con Animales, Maltrato Animal o Ambiental Preventiva / Remisión.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Todas las rutas convergen en el Auto de Archivo y Cierre Documental del Expediente.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2.4 Ajustes consolidados en la reunión del 08-09-2026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Case ≠ Expediente; fecha de recepción ≠ fecha de radicación en DÉBORA.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El informe técnico produce una Recomendación Técnica, no una obligación jurídica automática.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Orden de Policía como figura y subproceso independiente de la Medida Correctiva.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Separación de Proceso Verbal Inmediato y Proceso Verbal Abreviado; audiencia PVA detallada (inasistencia, 3 días, pruebas, suspensión, audio y acta).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Separación de canino de manejo especial, conductas de convivencia con animales y maltrato animal; posible delito → Fiscalía/GELMA.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Auto de Archivo visible como acto jurídico de cierre; movimiento y custodia física del expediente en segunda instancia.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Programación y alertas de visitas y de pagos como controles operativos, sin consecuencias jurídicas automáticas.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2.5 Inventario de BPMN activos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La tabla lista los 29 diagramas activos del catálogo, con su versión y la estructura del CRM que los implementa.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00"/>
        <w:gridCol w:w="800"/>
        <w:gridCol w:w="4560"/>
      </w:tblGrid>
      <w:tr>
        <w:trPr>
          <w:tblHeader/>
        </w:trPr>
        <w:tc>
          <w:tcPr>
            <w:tcW w:type="dxa" w:w="7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shd w:fill="1F5E4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Nivel</w:t>
            </w:r>
          </w:p>
        </w:tc>
        <w:tc>
          <w:tcPr>
            <w:tcW w:type="dxa" w:w="33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shd w:fill="1F5E4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Proceso BPMN</w:t>
            </w:r>
          </w:p>
        </w:tc>
        <w:tc>
          <w:tcPr>
            <w:tcW w:type="dxa" w:w="8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shd w:fill="1F5E4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Versión</w:t>
            </w:r>
          </w:p>
        </w:tc>
        <w:tc>
          <w:tcPr>
            <w:tcW w:type="dxa" w:w="456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shd w:fill="1F5E4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Implementación en el CRM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N0</w:t>
            </w:r>
          </w:p>
        </w:tc>
        <w:tc>
          <w:tcPr>
            <w:tcW w:type="dxa" w:w="33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Atención de Solicitudes y Actuaciones · Mapa Maestro</w:t>
            </w:r>
          </w:p>
        </w:tc>
        <w:tc>
          <w:tcPr>
            <w:tcW w:type="dxa" w:w="8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v1.7</w:t>
            </w:r>
          </w:p>
        </w:tc>
        <w:tc>
          <w:tcPr>
            <w:tcW w:type="dxa" w:w="456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Orquesta el flujo completo (Case → Gestión Técnica → Evaluación → Expediente/rutas → Cierre)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N1</w:t>
            </w:r>
          </w:p>
        </w:tc>
        <w:tc>
          <w:tcPr>
            <w:tcW w:type="dxa" w:w="33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Recepción y Radicación</w:t>
            </w:r>
          </w:p>
        </w:tc>
        <w:tc>
          <w:tcPr>
            <w:tcW w:type="dxa" w:w="8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v1.1</w:t>
            </w:r>
          </w:p>
        </w:tc>
        <w:tc>
          <w:tcPr>
            <w:tcW w:type="dxa" w:w="456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Case (núcleo: registro, radicado, asignación)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N1</w:t>
            </w:r>
          </w:p>
        </w:tc>
        <w:tc>
          <w:tcPr>
            <w:tcW w:type="dxa" w:w="33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Recepción y Clasificación de Actuaciones RNMC</w:t>
            </w:r>
          </w:p>
        </w:tc>
        <w:tc>
          <w:tcPr>
            <w:tcW w:type="dxa" w:w="8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v1.0</w:t>
            </w:r>
          </w:p>
        </w:tc>
        <w:tc>
          <w:tcPr>
            <w:tcW w:type="dxa" w:w="456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ActuacionRNMC (reutiliza OrdenComparendo, Recurso, DecisionRutaJuridica)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N1</w:t>
            </w:r>
          </w:p>
        </w:tc>
        <w:tc>
          <w:tcPr>
            <w:tcW w:type="dxa" w:w="33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Competencia y Clasificación</w:t>
            </w:r>
          </w:p>
        </w:tc>
        <w:tc>
          <w:tcPr>
            <w:tcW w:type="dxa" w:w="8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v1.0</w:t>
            </w:r>
          </w:p>
        </w:tc>
        <w:tc>
          <w:tcPr>
            <w:tcW w:type="dxa" w:w="456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Case (clase de ingreso, recurso/tema) + RemisionAutoridad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N1</w:t>
            </w:r>
          </w:p>
        </w:tc>
        <w:tc>
          <w:tcPr>
            <w:tcW w:type="dxa" w:w="33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Relación de Casos</w:t>
            </w:r>
          </w:p>
        </w:tc>
        <w:tc>
          <w:tcPr>
            <w:tcW w:type="dxa" w:w="8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v1.0</w:t>
            </w:r>
          </w:p>
        </w:tc>
        <w:tc>
          <w:tcPr>
            <w:tcW w:type="dxa" w:w="456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RelacionCasos + Destino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N1</w:t>
            </w:r>
          </w:p>
        </w:tc>
        <w:tc>
          <w:tcPr>
            <w:tcW w:type="dxa" w:w="33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Gestión Técnica</w:t>
            </w:r>
          </w:p>
        </w:tc>
        <w:tc>
          <w:tcPr>
            <w:tcW w:type="dxa" w:w="8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v1.2</w:t>
            </w:r>
          </w:p>
        </w:tc>
        <w:tc>
          <w:tcPr>
            <w:tcW w:type="dxa" w:w="456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GestionTecnica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N2</w:t>
            </w:r>
          </w:p>
        </w:tc>
        <w:tc>
          <w:tcPr>
            <w:tcW w:type="dxa" w:w="33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Visita de Inspección y Registro de Campo</w:t>
            </w:r>
          </w:p>
        </w:tc>
        <w:tc>
          <w:tcPr>
            <w:tcW w:type="dxa" w:w="8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v1.2</w:t>
            </w:r>
          </w:p>
        </w:tc>
        <w:tc>
          <w:tcPr>
            <w:tcW w:type="dxa" w:w="456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ActaVisita (numeración, PDF) + ProgramacionVisita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N2</w:t>
            </w:r>
          </w:p>
        </w:tc>
        <w:tc>
          <w:tcPr>
            <w:tcW w:type="dxa" w:w="33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Medición / Muestreo / Evaluación Técnica</w:t>
            </w:r>
          </w:p>
        </w:tc>
        <w:tc>
          <w:tcPr>
            <w:tcW w:type="dxa" w:w="8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v1.1</w:t>
            </w:r>
          </w:p>
        </w:tc>
        <w:tc>
          <w:tcPr>
            <w:tcW w:type="dxa" w:w="456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IntervencionTecnica (tipo = Medición)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N2</w:t>
            </w:r>
          </w:p>
        </w:tc>
        <w:tc>
          <w:tcPr>
            <w:tcW w:type="dxa" w:w="33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Informe / Concepto Técnico</w:t>
            </w:r>
          </w:p>
        </w:tc>
        <w:tc>
          <w:tcPr>
            <w:tcW w:type="dxa" w:w="8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v1.1</w:t>
            </w:r>
          </w:p>
        </w:tc>
        <w:tc>
          <w:tcPr>
            <w:tcW w:type="dxa" w:w="456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IntervencionTecnica (tipo = Informe)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N2</w:t>
            </w:r>
          </w:p>
        </w:tc>
        <w:tc>
          <w:tcPr>
            <w:tcW w:type="dxa" w:w="33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Recomendaciones Técnicas / Compromisos</w:t>
            </w:r>
          </w:p>
        </w:tc>
        <w:tc>
          <w:tcPr>
            <w:tcW w:type="dxa" w:w="8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v1.1</w:t>
            </w:r>
          </w:p>
        </w:tc>
        <w:tc>
          <w:tcPr>
            <w:tcW w:type="dxa" w:w="456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RecomendacionTecnica + Compromiso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N2</w:t>
            </w:r>
          </w:p>
        </w:tc>
        <w:tc>
          <w:tcPr>
            <w:tcW w:type="dxa" w:w="33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Verificación de Cumplimiento</w:t>
            </w:r>
          </w:p>
        </w:tc>
        <w:tc>
          <w:tcPr>
            <w:tcW w:type="dxa" w:w="8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v1.1</w:t>
            </w:r>
          </w:p>
        </w:tc>
        <w:tc>
          <w:tcPr>
            <w:tcW w:type="dxa" w:w="456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VerificacionCumplimiento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N1</w:t>
            </w:r>
          </w:p>
        </w:tc>
        <w:tc>
          <w:tcPr>
            <w:tcW w:type="dxa" w:w="33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Evaluación de Resultado y Definición de Ruta</w:t>
            </w:r>
          </w:p>
        </w:tc>
        <w:tc>
          <w:tcPr>
            <w:tcW w:type="dxa" w:w="8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v1.1</w:t>
            </w:r>
          </w:p>
        </w:tc>
        <w:tc>
          <w:tcPr>
            <w:tcW w:type="dxa" w:w="456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EvaluacionResultado + DecisionRutaJuridica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N1</w:t>
            </w:r>
          </w:p>
        </w:tc>
        <w:tc>
          <w:tcPr>
            <w:tcW w:type="dxa" w:w="33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Preparación y Apertura de Expediente</w:t>
            </w:r>
          </w:p>
        </w:tc>
        <w:tc>
          <w:tcPr>
            <w:tcW w:type="dxa" w:w="8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v1.1</w:t>
            </w:r>
          </w:p>
        </w:tc>
        <w:tc>
          <w:tcPr>
            <w:tcW w:type="dxa" w:w="456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Expediente + AutoInicio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N2</w:t>
            </w:r>
          </w:p>
        </w:tc>
        <w:tc>
          <w:tcPr>
            <w:tcW w:type="dxa" w:w="33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Proceso Verbal Inmediato de Policía</w:t>
            </w:r>
          </w:p>
        </w:tc>
        <w:tc>
          <w:tcPr>
            <w:tcW w:type="dxa" w:w="8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v1.0</w:t>
            </w:r>
          </w:p>
        </w:tc>
        <w:tc>
          <w:tcPr>
            <w:tcW w:type="dxa" w:w="456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ActuacionPoliciaInmediata + OrdenComparendo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N2</w:t>
            </w:r>
          </w:p>
        </w:tc>
        <w:tc>
          <w:tcPr>
            <w:tcW w:type="dxa" w:w="33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Proceso Verbal Abreviado · Convivencia</w:t>
            </w:r>
          </w:p>
        </w:tc>
        <w:tc>
          <w:tcPr>
            <w:tcW w:type="dxa" w:w="8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v1.0</w:t>
            </w:r>
          </w:p>
        </w:tc>
        <w:tc>
          <w:tcPr>
            <w:tcW w:type="dxa" w:w="456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Audiencia, OrdenPolicia, MedidaCorrectiva, NotificacionActo, Recurso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N2</w:t>
            </w:r>
          </w:p>
        </w:tc>
        <w:tc>
          <w:tcPr>
            <w:tcW w:type="dxa" w:w="33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Recursos Naturales · Competencia Municipal</w:t>
            </w:r>
          </w:p>
        </w:tc>
        <w:tc>
          <w:tcPr>
            <w:tcW w:type="dxa" w:w="8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v1.4</w:t>
            </w:r>
          </w:p>
        </w:tc>
        <w:tc>
          <w:tcPr>
            <w:tcW w:type="dxa" w:w="456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DecisionRutaJuridica (3 desenlaces) + RemisionAutoridad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N2</w:t>
            </w:r>
          </w:p>
        </w:tc>
        <w:tc>
          <w:tcPr>
            <w:tcW w:type="dxa" w:w="33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Conductas de Convivencia Relacionadas con Animales</w:t>
            </w:r>
          </w:p>
        </w:tc>
        <w:tc>
          <w:tcPr>
            <w:tcW w:type="dxa" w:w="8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v1.0</w:t>
            </w:r>
          </w:p>
        </w:tc>
        <w:tc>
          <w:tcPr>
            <w:tcW w:type="dxa" w:w="456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Clasificador sin entidad propia (enruta al PVA)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N2</w:t>
            </w:r>
          </w:p>
        </w:tc>
        <w:tc>
          <w:tcPr>
            <w:tcW w:type="dxa" w:w="33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Registro y Permiso de Canino de Manejo Especial</w:t>
            </w:r>
          </w:p>
        </w:tc>
        <w:tc>
          <w:tcPr>
            <w:tcW w:type="dxa" w:w="8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v1.0</w:t>
            </w:r>
          </w:p>
        </w:tc>
        <w:tc>
          <w:tcPr>
            <w:tcW w:type="dxa" w:w="456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RegistroCaninoManejoEspecial + PermisoCaninoManejoEspecial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N2</w:t>
            </w:r>
          </w:p>
        </w:tc>
        <w:tc>
          <w:tcPr>
            <w:tcW w:type="dxa" w:w="33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Proceso Verbal de Maltrato Animal</w:t>
            </w:r>
          </w:p>
        </w:tc>
        <w:tc>
          <w:tcPr>
            <w:tcW w:type="dxa" w:w="8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v1.0</w:t>
            </w:r>
          </w:p>
        </w:tc>
        <w:tc>
          <w:tcPr>
            <w:tcW w:type="dxa" w:w="456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ActuacionMaltratoAnimal (reutiliza Audiencia y RemisionAutoridad)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N2</w:t>
            </w:r>
          </w:p>
        </w:tc>
        <w:tc>
          <w:tcPr>
            <w:tcW w:type="dxa" w:w="33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Ambiental Preventiva / Remisión a Autoridad Ambiental</w:t>
            </w:r>
          </w:p>
        </w:tc>
        <w:tc>
          <w:tcPr>
            <w:tcW w:type="dxa" w:w="8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v1.1</w:t>
            </w:r>
          </w:p>
        </w:tc>
        <w:tc>
          <w:tcPr>
            <w:tcW w:type="dxa" w:w="456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RemisionAutoridad (con campos de medida preventiva)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N3</w:t>
            </w:r>
          </w:p>
        </w:tc>
        <w:tc>
          <w:tcPr>
            <w:tcW w:type="dxa" w:w="33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Audiencia del Proceso Verbal Abreviado</w:t>
            </w:r>
          </w:p>
        </w:tc>
        <w:tc>
          <w:tcPr>
            <w:tcW w:type="dxa" w:w="8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v1.0</w:t>
            </w:r>
          </w:p>
        </w:tc>
        <w:tc>
          <w:tcPr>
            <w:tcW w:type="dxa" w:w="456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Audiencia + SuspensionAudiencia + GrabacionAudiencia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N3</w:t>
            </w:r>
          </w:p>
        </w:tc>
        <w:tc>
          <w:tcPr>
            <w:tcW w:type="dxa" w:w="33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Audiencia Oral y Registro del Proceso de Maltrato Animal</w:t>
            </w:r>
          </w:p>
        </w:tc>
        <w:tc>
          <w:tcPr>
            <w:tcW w:type="dxa" w:w="8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v1.0</w:t>
            </w:r>
          </w:p>
        </w:tc>
        <w:tc>
          <w:tcPr>
            <w:tcW w:type="dxa" w:w="456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Audiencia (tipo de proceso: maltrato animal)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N3</w:t>
            </w:r>
          </w:p>
        </w:tc>
        <w:tc>
          <w:tcPr>
            <w:tcW w:type="dxa" w:w="33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Orden de Policía · Registro, Cumplimiento y Seguimiento</w:t>
            </w:r>
          </w:p>
        </w:tc>
        <w:tc>
          <w:tcPr>
            <w:tcW w:type="dxa" w:w="8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v1.0</w:t>
            </w:r>
          </w:p>
        </w:tc>
        <w:tc>
          <w:tcPr>
            <w:tcW w:type="dxa" w:w="456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OrdenPolicia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N3</w:t>
            </w:r>
          </w:p>
        </w:tc>
        <w:tc>
          <w:tcPr>
            <w:tcW w:type="dxa" w:w="33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Determinación e Imposición de Medidas Correctivas</w:t>
            </w:r>
          </w:p>
        </w:tc>
        <w:tc>
          <w:tcPr>
            <w:tcW w:type="dxa" w:w="8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v1.2</w:t>
            </w:r>
          </w:p>
        </w:tc>
        <w:tc>
          <w:tcPr>
            <w:tcW w:type="dxa" w:w="456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MedidaCorrectiva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N3</w:t>
            </w:r>
          </w:p>
        </w:tc>
        <w:tc>
          <w:tcPr>
            <w:tcW w:type="dxa" w:w="33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Notificación y Ejecutoria de Actos</w:t>
            </w:r>
          </w:p>
        </w:tc>
        <w:tc>
          <w:tcPr>
            <w:tcW w:type="dxa" w:w="8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v1.0</w:t>
            </w:r>
          </w:p>
        </w:tc>
        <w:tc>
          <w:tcPr>
            <w:tcW w:type="dxa" w:w="456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NotificacionActo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N3</w:t>
            </w:r>
          </w:p>
        </w:tc>
        <w:tc>
          <w:tcPr>
            <w:tcW w:type="dxa" w:w="33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Recursos y Segunda Instancia</w:t>
            </w:r>
          </w:p>
        </w:tc>
        <w:tc>
          <w:tcPr>
            <w:tcW w:type="dxa" w:w="8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v1.1</w:t>
            </w:r>
          </w:p>
        </w:tc>
        <w:tc>
          <w:tcPr>
            <w:tcW w:type="dxa" w:w="456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Recurso + MovimientoExpediente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N3</w:t>
            </w:r>
          </w:p>
        </w:tc>
        <w:tc>
          <w:tcPr>
            <w:tcW w:type="dxa" w:w="33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Gestión y Ejecución de Medidas Correctivas</w:t>
            </w:r>
          </w:p>
        </w:tc>
        <w:tc>
          <w:tcPr>
            <w:tcW w:type="dxa" w:w="8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v1.0</w:t>
            </w:r>
          </w:p>
        </w:tc>
        <w:tc>
          <w:tcPr>
            <w:tcW w:type="dxa" w:w="456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EjecucionMedidaCorrectiva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N3</w:t>
            </w:r>
          </w:p>
        </w:tc>
        <w:tc>
          <w:tcPr>
            <w:tcW w:type="dxa" w:w="33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Ejecución Pecuniaria / Tesorería</w:t>
            </w:r>
          </w:p>
        </w:tc>
        <w:tc>
          <w:tcPr>
            <w:tcW w:type="dxa" w:w="8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v1.1</w:t>
            </w:r>
          </w:p>
        </w:tc>
        <w:tc>
          <w:tcPr>
            <w:tcW w:type="dxa" w:w="456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ObligacionPecuniaria (reutiliza RemisionAutoridad)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N2</w:t>
            </w:r>
          </w:p>
        </w:tc>
        <w:tc>
          <w:tcPr>
            <w:tcW w:type="dxa" w:w="33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Auto de Archivo y Cierre Documental del Expediente</w:t>
            </w:r>
          </w:p>
        </w:tc>
        <w:tc>
          <w:tcPr>
            <w:tcW w:type="dxa" w:w="8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v1.1</w:t>
            </w:r>
          </w:p>
        </w:tc>
        <w:tc>
          <w:tcPr>
            <w:tcW w:type="dxa" w:w="456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ActuoArchivo (versión simple; checklist de cierre pendiente)</w:t>
            </w:r>
          </w:p>
        </w:tc>
      </w:tr>
    </w:tbl>
    <w:p>
      <w:pPr>
        <w:sectPr>
          <w:footerReference w:type="default" r:id="rId7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  <w:spacing w:after="120"/>
      </w:pPr>
      <w:r>
        <w:rPr>
          <w:rFonts w:ascii="Calibri" w:cs="Calibri" w:eastAsia="Calibri" w:hAnsi="Calibri"/>
        </w:rPr>
        <w:t xml:space="preserve">2.6 Diagramas BPMN por nivel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Cada diagrama se renderizó a partir del archivo BPMN activo. En el visor web cada elemento se puede abrir para consultar su descripción, responsable, decisión requerida, formatos y tiempos (sección 2.7).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</w:rPr>
        <w:t xml:space="preserve">N0 · Mapa maestro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5E46"/>
          <w:sz w:val="22"/>
          <w:szCs w:val="22"/>
        </w:rPr>
        <w:t xml:space="preserve">N0 · Atención de Solicitudes y Actuaciones · Mapa Maestro (v1.7). </w:t>
      </w:r>
      <w:r>
        <w:rPr>
          <w:rFonts w:ascii="Calibri" w:cs="Calibri" w:eastAsia="Calibri" w:hAnsi="Calibri"/>
          <w:sz w:val="22"/>
          <w:szCs w:val="22"/>
        </w:rPr>
        <w:t xml:space="preserve">Mapa maestro N0 que integra todos los subprocesos: desde el ingreso de la solicitud o actuación de Policía, pasando por la coordinación técnica, hasta las rutas jurídicas y el cierre documental del expediente.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8229600" cy="2743200"/>
            <wp:effectExtent t="0" r="0" b="0" l="0"/>
            <wp:docPr id="1" name="bpmn-mapa-maestro.jpg" descr="BPMN N0 · Atención de Solicitudes y Actuaciones · Mapa Maestro · v1.7" title="BPMN N0 · Atención de Solicitudes y Actuaciones · Mapa Maestro · v1.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5E46"/>
          <w:sz w:val="18"/>
          <w:szCs w:val="18"/>
        </w:rPr>
        <w:t xml:space="preserve">Figura 1. </w:t>
      </w:r>
      <w:r>
        <w:rPr>
          <w:rFonts w:ascii="Calibri" w:cs="Calibri" w:eastAsia="Calibri" w:hAnsi="Calibri"/>
          <w:i/>
          <w:iCs/>
          <w:color w:val="5A6B62"/>
          <w:sz w:val="18"/>
          <w:szCs w:val="18"/>
        </w:rPr>
        <w:t xml:space="preserve">BPMN N0 · Atención de Solicitudes y Actuaciones · Mapa Maestro · v1.7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</w:rPr>
        <w:t xml:space="preserve">N1 · Subprocesos transversales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5E46"/>
          <w:sz w:val="22"/>
          <w:szCs w:val="22"/>
        </w:rPr>
        <w:t xml:space="preserve">N1 · Recepción y Radicación (v1.1). </w:t>
      </w:r>
      <w:r>
        <w:rPr>
          <w:rFonts w:ascii="Calibri" w:cs="Calibri" w:eastAsia="Calibri" w:hAnsi="Calibri"/>
          <w:sz w:val="22"/>
          <w:szCs w:val="22"/>
        </w:rPr>
        <w:t xml:space="preserve">Recepción por los distintos canales, creación del Case preliminar, radicación en DÉBORA y registro del número y la fecha oficial.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8229600" cy="1924050"/>
            <wp:effectExtent t="0" r="0" b="0" l="0"/>
            <wp:docPr id="1" name="bpmn-recepcion-radicacion.jpg" descr="BPMN N1 · Recepción y Radicación · v1.1" title="BPMN N1 · Recepción y Radicación · v1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5E46"/>
          <w:sz w:val="18"/>
          <w:szCs w:val="18"/>
        </w:rPr>
        <w:t xml:space="preserve">Figura 2. </w:t>
      </w:r>
      <w:r>
        <w:rPr>
          <w:rFonts w:ascii="Calibri" w:cs="Calibri" w:eastAsia="Calibri" w:hAnsi="Calibri"/>
          <w:i/>
          <w:iCs/>
          <w:color w:val="5A6B62"/>
          <w:sz w:val="18"/>
          <w:szCs w:val="18"/>
        </w:rPr>
        <w:t xml:space="preserve">BPMN N1 · Recepción y Radicación · v1.1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5E46"/>
          <w:sz w:val="22"/>
          <w:szCs w:val="22"/>
        </w:rPr>
        <w:t xml:space="preserve">N1 · Recepción y Clasificación de Actuaciones RNMC (v1.0). </w:t>
      </w:r>
      <w:r>
        <w:rPr>
          <w:rFonts w:ascii="Calibri" w:cs="Calibri" w:eastAsia="Calibri" w:hAnsi="Calibri"/>
          <w:sz w:val="22"/>
          <w:szCs w:val="22"/>
        </w:rPr>
        <w:t xml:space="preserve">Ingreso de actuaciones reportadas en el Registro Nacional de Medidas Correctivas (RNMC): objeción de comparendo, apelación del PVI o multa en firme.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8229600" cy="2476500"/>
            <wp:effectExtent t="0" r="0" b="0" l="0"/>
            <wp:docPr id="1" name="bpmn-recepcion-clasificacion-rnmc.jpg" descr="BPMN N1 · Recepción y Clasificación de Actuaciones RNMC · v1.0" title="BPMN N1 · Recepción y Clasificación de Actuaciones RNMC · v1.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5E46"/>
          <w:sz w:val="18"/>
          <w:szCs w:val="18"/>
        </w:rPr>
        <w:t xml:space="preserve">Figura 3. </w:t>
      </w:r>
      <w:r>
        <w:rPr>
          <w:rFonts w:ascii="Calibri" w:cs="Calibri" w:eastAsia="Calibri" w:hAnsi="Calibri"/>
          <w:i/>
          <w:iCs/>
          <w:color w:val="5A6B62"/>
          <w:sz w:val="18"/>
          <w:szCs w:val="18"/>
        </w:rPr>
        <w:t xml:space="preserve">BPMN N1 · Recepción y Clasificación de Actuaciones RNMC · v1.0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5E46"/>
          <w:sz w:val="22"/>
          <w:szCs w:val="22"/>
        </w:rPr>
        <w:t xml:space="preserve">N1 · Competencia y Clasificación (v1.0). </w:t>
      </w:r>
      <w:r>
        <w:rPr>
          <w:rFonts w:ascii="Calibri" w:cs="Calibri" w:eastAsia="Calibri" w:hAnsi="Calibri"/>
          <w:sz w:val="22"/>
          <w:szCs w:val="22"/>
        </w:rPr>
        <w:t xml:space="preserve">Valoración de la competencia municipal y clasificación del asunto; si no hay competencia, se remite a la autoridad correspondiente.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8229600" cy="2343150"/>
            <wp:effectExtent t="0" r="0" b="0" l="0"/>
            <wp:docPr id="1" name="bpmn-competencia-clasificacion.jpg" descr="BPMN N1 · Competencia y Clasificación · v1.0" title="BPMN N1 · Competencia y Clasificación · v1.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5E46"/>
          <w:sz w:val="18"/>
          <w:szCs w:val="18"/>
        </w:rPr>
        <w:t xml:space="preserve">Figura 4. </w:t>
      </w:r>
      <w:r>
        <w:rPr>
          <w:rFonts w:ascii="Calibri" w:cs="Calibri" w:eastAsia="Calibri" w:hAnsi="Calibri"/>
          <w:i/>
          <w:iCs/>
          <w:color w:val="5A6B62"/>
          <w:sz w:val="18"/>
          <w:szCs w:val="18"/>
        </w:rPr>
        <w:t xml:space="preserve">BPMN N1 · Competencia y Clasificación · v1.0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5E46"/>
          <w:sz w:val="22"/>
          <w:szCs w:val="22"/>
        </w:rPr>
        <w:t xml:space="preserve">N1 · Relación de Casos (v1.0). </w:t>
      </w:r>
      <w:r>
        <w:rPr>
          <w:rFonts w:ascii="Calibri" w:cs="Calibri" w:eastAsia="Calibri" w:hAnsi="Calibri"/>
          <w:sz w:val="22"/>
          <w:szCs w:val="22"/>
        </w:rPr>
        <w:t xml:space="preserve">Agrupación operativa de casos relacionados (mismo predio, hecho o infractor) sin fusionarlos.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8229600" cy="2495550"/>
            <wp:effectExtent t="0" r="0" b="0" l="0"/>
            <wp:docPr id="1" name="bpmn-relacion-casos.jpg" descr="BPMN N1 · Relación de Casos · v1.0" title="BPMN N1 · Relación de Casos · v1.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5E46"/>
          <w:sz w:val="18"/>
          <w:szCs w:val="18"/>
        </w:rPr>
        <w:t xml:space="preserve">Figura 5. </w:t>
      </w:r>
      <w:r>
        <w:rPr>
          <w:rFonts w:ascii="Calibri" w:cs="Calibri" w:eastAsia="Calibri" w:hAnsi="Calibri"/>
          <w:i/>
          <w:iCs/>
          <w:color w:val="5A6B62"/>
          <w:sz w:val="18"/>
          <w:szCs w:val="18"/>
        </w:rPr>
        <w:t xml:space="preserve">BPMN N1 · Relación de Casos · v1.0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5E46"/>
          <w:sz w:val="22"/>
          <w:szCs w:val="22"/>
        </w:rPr>
        <w:t xml:space="preserve">N1 · Gestión Técnica (v1.2). </w:t>
      </w:r>
      <w:r>
        <w:rPr>
          <w:rFonts w:ascii="Calibri" w:cs="Calibri" w:eastAsia="Calibri" w:hAnsi="Calibri"/>
          <w:sz w:val="22"/>
          <w:szCs w:val="22"/>
        </w:rPr>
        <w:t xml:space="preserve">Definición de la gestión requerida, asignación del equipo técnico y apertura de los N2 de visita, medición, informe, recomendaciones y verificación.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8229600" cy="1562100"/>
            <wp:effectExtent t="0" r="0" b="0" l="0"/>
            <wp:docPr id="1" name="bpmn-gestion-tecnica.jpg" descr="BPMN N1 · Gestión Técnica · v1.2" title="BPMN N1 · Gestión Técnica · v1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5E46"/>
          <w:sz w:val="18"/>
          <w:szCs w:val="18"/>
        </w:rPr>
        <w:t xml:space="preserve">Figura 6. </w:t>
      </w:r>
      <w:r>
        <w:rPr>
          <w:rFonts w:ascii="Calibri" w:cs="Calibri" w:eastAsia="Calibri" w:hAnsi="Calibri"/>
          <w:i/>
          <w:iCs/>
          <w:color w:val="5A6B62"/>
          <w:sz w:val="18"/>
          <w:szCs w:val="18"/>
        </w:rPr>
        <w:t xml:space="preserve">BPMN N1 · Gestión Técnica · v1.2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</w:rPr>
        <w:t xml:space="preserve">N2 · Procedimientos / rutas específicas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5E46"/>
          <w:sz w:val="22"/>
          <w:szCs w:val="22"/>
        </w:rPr>
        <w:t xml:space="preserve">N2 · Visita de Inspección y Registro de Campo (v1.2). </w:t>
      </w:r>
      <w:r>
        <w:rPr>
          <w:rFonts w:ascii="Calibri" w:cs="Calibri" w:eastAsia="Calibri" w:hAnsi="Calibri"/>
          <w:sz w:val="22"/>
          <w:szCs w:val="22"/>
        </w:rPr>
        <w:t xml:space="preserve">Programación y ejecución de la visita de inspección, con registro de campo y acta.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8229600" cy="1323975"/>
            <wp:effectExtent t="0" r="0" b="0" l="0"/>
            <wp:docPr id="1" name="bpmn-visita.jpg" descr="BPMN N2 · Visita de Inspección y Registro de Campo · v1.2" title="BPMN N2 · Visita de Inspección y Registro de Campo · v1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5E46"/>
          <w:sz w:val="18"/>
          <w:szCs w:val="18"/>
        </w:rPr>
        <w:t xml:space="preserve">Figura 7. </w:t>
      </w:r>
      <w:r>
        <w:rPr>
          <w:rFonts w:ascii="Calibri" w:cs="Calibri" w:eastAsia="Calibri" w:hAnsi="Calibri"/>
          <w:i/>
          <w:iCs/>
          <w:color w:val="5A6B62"/>
          <w:sz w:val="18"/>
          <w:szCs w:val="18"/>
        </w:rPr>
        <w:t xml:space="preserve">BPMN N2 · Visita de Inspección y Registro de Campo · v1.2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5E46"/>
          <w:sz w:val="22"/>
          <w:szCs w:val="22"/>
        </w:rPr>
        <w:t xml:space="preserve">N2 · Medición / Muestreo / Evaluación Técnica (v1.1). </w:t>
      </w:r>
      <w:r>
        <w:rPr>
          <w:rFonts w:ascii="Calibri" w:cs="Calibri" w:eastAsia="Calibri" w:hAnsi="Calibri"/>
          <w:sz w:val="22"/>
          <w:szCs w:val="22"/>
        </w:rPr>
        <w:t xml:space="preserve">Medición, muestreo o evaluación técnica especializada (ruido, aire, PMIRS, fauna).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8229600" cy="2362200"/>
            <wp:effectExtent t="0" r="0" b="0" l="0"/>
            <wp:docPr id="1" name="bpmn-medicion.jpg" descr="BPMN N2 · Medición / Muestreo / Evaluación Técnica · v1.1" title="BPMN N2 · Medición / Muestreo / Evaluación Técnica · v1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5E46"/>
          <w:sz w:val="18"/>
          <w:szCs w:val="18"/>
        </w:rPr>
        <w:t xml:space="preserve">Figura 8. </w:t>
      </w:r>
      <w:r>
        <w:rPr>
          <w:rFonts w:ascii="Calibri" w:cs="Calibri" w:eastAsia="Calibri" w:hAnsi="Calibri"/>
          <w:i/>
          <w:iCs/>
          <w:color w:val="5A6B62"/>
          <w:sz w:val="18"/>
          <w:szCs w:val="18"/>
        </w:rPr>
        <w:t xml:space="preserve">BPMN N2 · Medición / Muestreo / Evaluación Técnica · v1.1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5E46"/>
          <w:sz w:val="22"/>
          <w:szCs w:val="22"/>
        </w:rPr>
        <w:t xml:space="preserve">N2 · Informe / Concepto Técnico (v1.1). </w:t>
      </w:r>
      <w:r>
        <w:rPr>
          <w:rFonts w:ascii="Calibri" w:cs="Calibri" w:eastAsia="Calibri" w:hAnsi="Calibri"/>
          <w:sz w:val="22"/>
          <w:szCs w:val="22"/>
        </w:rPr>
        <w:t xml:space="preserve">Elaboración, revisión y firma del informe o concepto técnico.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8229600" cy="1381125"/>
            <wp:effectExtent t="0" r="0" b="0" l="0"/>
            <wp:docPr id="1" name="bpmn-informe-concepto.jpg" descr="BPMN N2 · Informe / Concepto Técnico · v1.1" title="BPMN N2 · Informe / Concepto Técnico · v1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5E46"/>
          <w:sz w:val="18"/>
          <w:szCs w:val="18"/>
        </w:rPr>
        <w:t xml:space="preserve">Figura 9. </w:t>
      </w:r>
      <w:r>
        <w:rPr>
          <w:rFonts w:ascii="Calibri" w:cs="Calibri" w:eastAsia="Calibri" w:hAnsi="Calibri"/>
          <w:i/>
          <w:iCs/>
          <w:color w:val="5A6B62"/>
          <w:sz w:val="18"/>
          <w:szCs w:val="18"/>
        </w:rPr>
        <w:t xml:space="preserve">BPMN N2 · Informe / Concepto Técnico · v1.1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5E46"/>
          <w:sz w:val="22"/>
          <w:szCs w:val="22"/>
        </w:rPr>
        <w:t xml:space="preserve">N2 · Recomendaciones Técnicas / Compromisos (v1.1). </w:t>
      </w:r>
      <w:r>
        <w:rPr>
          <w:rFonts w:ascii="Calibri" w:cs="Calibri" w:eastAsia="Calibri" w:hAnsi="Calibri"/>
          <w:sz w:val="22"/>
          <w:szCs w:val="22"/>
        </w:rPr>
        <w:t xml:space="preserve">Formulación de recomendaciones técnicas y compromisos (no son obligaciones jurídicas automáticas).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8229600" cy="1190625"/>
            <wp:effectExtent t="0" r="0" b="0" l="0"/>
            <wp:docPr id="1" name="bpmn-recomendaciones-tecnicas.jpg" descr="BPMN N2 · Recomendaciones Técnicas / Compromisos · v1.1" title="BPMN N2 · Recomendaciones Técnicas / Compromisos · v1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5E46"/>
          <w:sz w:val="18"/>
          <w:szCs w:val="18"/>
        </w:rPr>
        <w:t xml:space="preserve">Figura 10. </w:t>
      </w:r>
      <w:r>
        <w:rPr>
          <w:rFonts w:ascii="Calibri" w:cs="Calibri" w:eastAsia="Calibri" w:hAnsi="Calibri"/>
          <w:i/>
          <w:iCs/>
          <w:color w:val="5A6B62"/>
          <w:sz w:val="18"/>
          <w:szCs w:val="18"/>
        </w:rPr>
        <w:t xml:space="preserve">BPMN N2 · Recomendaciones Técnicas / Compromisos · v1.1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5E46"/>
          <w:sz w:val="22"/>
          <w:szCs w:val="22"/>
        </w:rPr>
        <w:t xml:space="preserve">N2 · Verificación de Cumplimiento (v1.1). </w:t>
      </w:r>
      <w:r>
        <w:rPr>
          <w:rFonts w:ascii="Calibri" w:cs="Calibri" w:eastAsia="Calibri" w:hAnsi="Calibri"/>
          <w:sz w:val="22"/>
          <w:szCs w:val="22"/>
        </w:rPr>
        <w:t xml:space="preserve">Verificación posterior del cumplimiento de las recomendaciones o compromisos.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8229600" cy="1571625"/>
            <wp:effectExtent t="0" r="0" b="0" l="0"/>
            <wp:docPr id="1" name="bpmn-verificacion.jpg" descr="BPMN N2 · Verificación de Cumplimiento · v1.1" title="BPMN N2 · Verificación de Cumplimiento · v1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5E46"/>
          <w:sz w:val="18"/>
          <w:szCs w:val="18"/>
        </w:rPr>
        <w:t xml:space="preserve">Figura 11. </w:t>
      </w:r>
      <w:r>
        <w:rPr>
          <w:rFonts w:ascii="Calibri" w:cs="Calibri" w:eastAsia="Calibri" w:hAnsi="Calibri"/>
          <w:i/>
          <w:iCs/>
          <w:color w:val="5A6B62"/>
          <w:sz w:val="18"/>
          <w:szCs w:val="18"/>
        </w:rPr>
        <w:t xml:space="preserve">BPMN N2 · Verificación de Cumplimiento · v1.1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</w:rPr>
        <w:t xml:space="preserve">N1 · Subprocesos transversales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5E46"/>
          <w:sz w:val="22"/>
          <w:szCs w:val="22"/>
        </w:rPr>
        <w:t xml:space="preserve">N1 · Evaluación de Resultado y Definición de Ruta (v1.1). </w:t>
      </w:r>
      <w:r>
        <w:rPr>
          <w:rFonts w:ascii="Calibri" w:cs="Calibri" w:eastAsia="Calibri" w:hAnsi="Calibri"/>
          <w:sz w:val="22"/>
          <w:szCs w:val="22"/>
        </w:rPr>
        <w:t xml:space="preserve">Evaluación del resultado técnico y decisión de ruta: cierre sin expediente, nueva gestión, PVI, canino o apertura de expediente.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8229600" cy="1990725"/>
            <wp:effectExtent t="0" r="0" b="0" l="0"/>
            <wp:docPr id="1" name="bpmn-evaluacion-resultado.jpg" descr="BPMN N1 · Evaluación de Resultado y Definición de Ruta · v1.1" title="BPMN N1 · Evaluación de Resultado y Definición de Ruta · v1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5E46"/>
          <w:sz w:val="18"/>
          <w:szCs w:val="18"/>
        </w:rPr>
        <w:t xml:space="preserve">Figura 12. </w:t>
      </w:r>
      <w:r>
        <w:rPr>
          <w:rFonts w:ascii="Calibri" w:cs="Calibri" w:eastAsia="Calibri" w:hAnsi="Calibri"/>
          <w:i/>
          <w:iCs/>
          <w:color w:val="5A6B62"/>
          <w:sz w:val="18"/>
          <w:szCs w:val="18"/>
        </w:rPr>
        <w:t xml:space="preserve">BPMN N1 · Evaluación de Resultado y Definición de Ruta · v1.1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5E46"/>
          <w:sz w:val="22"/>
          <w:szCs w:val="22"/>
        </w:rPr>
        <w:t xml:space="preserve">N1 · Preparación y Apertura de Expediente (v1.1). </w:t>
      </w:r>
      <w:r>
        <w:rPr>
          <w:rFonts w:ascii="Calibri" w:cs="Calibri" w:eastAsia="Calibri" w:hAnsi="Calibri"/>
          <w:sz w:val="22"/>
          <w:szCs w:val="22"/>
        </w:rPr>
        <w:t xml:space="preserve">Checklist previo, fundamentos normativos y Auto de Inicio para abrir el expediente.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8229600" cy="1304925"/>
            <wp:effectExtent t="0" r="0" b="0" l="0"/>
            <wp:docPr id="1" name="bpmn-apertura-expediente.jpg" descr="BPMN N1 · Preparación y Apertura de Expediente · v1.1" title="BPMN N1 · Preparación y Apertura de Expediente · v1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5E46"/>
          <w:sz w:val="18"/>
          <w:szCs w:val="18"/>
        </w:rPr>
        <w:t xml:space="preserve">Figura 13. </w:t>
      </w:r>
      <w:r>
        <w:rPr>
          <w:rFonts w:ascii="Calibri" w:cs="Calibri" w:eastAsia="Calibri" w:hAnsi="Calibri"/>
          <w:i/>
          <w:iCs/>
          <w:color w:val="5A6B62"/>
          <w:sz w:val="18"/>
          <w:szCs w:val="18"/>
        </w:rPr>
        <w:t xml:space="preserve">BPMN N1 · Preparación y Apertura de Expediente · v1.1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</w:rPr>
        <w:t xml:space="preserve">N2 · Procedimientos / rutas específicas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5E46"/>
          <w:sz w:val="22"/>
          <w:szCs w:val="22"/>
        </w:rPr>
        <w:t xml:space="preserve">N2 · Proceso Verbal Inmediato de Policía (v1.0). </w:t>
      </w:r>
      <w:r>
        <w:rPr>
          <w:rFonts w:ascii="Calibri" w:cs="Calibri" w:eastAsia="Calibri" w:hAnsi="Calibri"/>
          <w:sz w:val="22"/>
          <w:szCs w:val="22"/>
        </w:rPr>
        <w:t xml:space="preserve">Proceso verbal inmediato (art. 222, Ley 1801) con orden de comparendo y apelación.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8229600" cy="1314450"/>
            <wp:effectExtent t="0" r="0" b="0" l="0"/>
            <wp:docPr id="1" name="bpmn-proceso-verbal-inmediato.jpg" descr="BPMN N2 · Proceso Verbal Inmediato de Policía · v1.0" title="BPMN N2 · Proceso Verbal Inmediato de Policía · v1.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5E46"/>
          <w:sz w:val="18"/>
          <w:szCs w:val="18"/>
        </w:rPr>
        <w:t xml:space="preserve">Figura 14. </w:t>
      </w:r>
      <w:r>
        <w:rPr>
          <w:rFonts w:ascii="Calibri" w:cs="Calibri" w:eastAsia="Calibri" w:hAnsi="Calibri"/>
          <w:i/>
          <w:iCs/>
          <w:color w:val="5A6B62"/>
          <w:sz w:val="18"/>
          <w:szCs w:val="18"/>
        </w:rPr>
        <w:t xml:space="preserve">BPMN N2 · Proceso Verbal Inmediato de Policía · v1.0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5E46"/>
          <w:sz w:val="22"/>
          <w:szCs w:val="22"/>
        </w:rPr>
        <w:t xml:space="preserve">N2 · Proceso Verbal Abreviado · Convivencia (v1.0). </w:t>
      </w:r>
      <w:r>
        <w:rPr>
          <w:rFonts w:ascii="Calibri" w:cs="Calibri" w:eastAsia="Calibri" w:hAnsi="Calibri"/>
          <w:sz w:val="22"/>
          <w:szCs w:val="22"/>
        </w:rPr>
        <w:t xml:space="preserve">Proceso verbal abreviado de convivencia: citación, audiencia, pruebas, decisión, medidas y recursos.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8229600" cy="1095375"/>
            <wp:effectExtent t="0" r="0" b="0" l="0"/>
            <wp:docPr id="1" name="bpmn-proceso-verbal-abreviado.jpg" descr="BPMN N2 · Proceso Verbal Abreviado · Convivencia · v1.0" title="BPMN N2 · Proceso Verbal Abreviado · Convivencia · v1.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5E46"/>
          <w:sz w:val="18"/>
          <w:szCs w:val="18"/>
        </w:rPr>
        <w:t xml:space="preserve">Figura 15. </w:t>
      </w:r>
      <w:r>
        <w:rPr>
          <w:rFonts w:ascii="Calibri" w:cs="Calibri" w:eastAsia="Calibri" w:hAnsi="Calibri"/>
          <w:i/>
          <w:iCs/>
          <w:color w:val="5A6B62"/>
          <w:sz w:val="18"/>
          <w:szCs w:val="18"/>
        </w:rPr>
        <w:t xml:space="preserve">BPMN N2 · Proceso Verbal Abreviado · Convivencia · v1.0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5E46"/>
          <w:sz w:val="22"/>
          <w:szCs w:val="22"/>
        </w:rPr>
        <w:t xml:space="preserve">N2 · Recursos Naturales · Competencia Municipal (v1.4). </w:t>
      </w:r>
      <w:r>
        <w:rPr>
          <w:rFonts w:ascii="Calibri" w:cs="Calibri" w:eastAsia="Calibri" w:hAnsi="Calibri"/>
          <w:sz w:val="22"/>
          <w:szCs w:val="22"/>
        </w:rPr>
        <w:t xml:space="preserve">Ruta de recursos naturales de competencia municipal con tres desenlaces: PVA, ambiental preventiva o archivo.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8229600" cy="1562100"/>
            <wp:effectExtent t="0" r="0" b="0" l="0"/>
            <wp:docPr id="1" name="bpmn-recursos-naturales-municipal.jpg" descr="BPMN N2 · Recursos Naturales · Competencia Municipal · v1.4" title="BPMN N2 · Recursos Naturales · Competencia Municipal · v1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5E46"/>
          <w:sz w:val="18"/>
          <w:szCs w:val="18"/>
        </w:rPr>
        <w:t xml:space="preserve">Figura 16. </w:t>
      </w:r>
      <w:r>
        <w:rPr>
          <w:rFonts w:ascii="Calibri" w:cs="Calibri" w:eastAsia="Calibri" w:hAnsi="Calibri"/>
          <w:i/>
          <w:iCs/>
          <w:color w:val="5A6B62"/>
          <w:sz w:val="18"/>
          <w:szCs w:val="18"/>
        </w:rPr>
        <w:t xml:space="preserve">BPMN N2 · Recursos Naturales · Competencia Municipal · v1.4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5E46"/>
          <w:sz w:val="22"/>
          <w:szCs w:val="22"/>
        </w:rPr>
        <w:t xml:space="preserve">N2 · Conductas de Convivencia Relacionadas con Animales (v1.0). </w:t>
      </w:r>
      <w:r>
        <w:rPr>
          <w:rFonts w:ascii="Calibri" w:cs="Calibri" w:eastAsia="Calibri" w:hAnsi="Calibri"/>
          <w:sz w:val="22"/>
          <w:szCs w:val="22"/>
        </w:rPr>
        <w:t xml:space="preserve">Clasificación de conductas de convivencia relacionadas con animales y enrutamiento al PVA.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8229600" cy="1419225"/>
            <wp:effectExtent t="0" r="0" b="0" l="0"/>
            <wp:docPr id="1" name="bpmn-convivencia-animales.jpg" descr="BPMN N2 · Conductas de Convivencia Relacionadas con Animales · v1.0" title="BPMN N2 · Conductas de Convivencia Relacionadas con Animales · v1.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5E46"/>
          <w:sz w:val="18"/>
          <w:szCs w:val="18"/>
        </w:rPr>
        <w:t xml:space="preserve">Figura 17. </w:t>
      </w:r>
      <w:r>
        <w:rPr>
          <w:rFonts w:ascii="Calibri" w:cs="Calibri" w:eastAsia="Calibri" w:hAnsi="Calibri"/>
          <w:i/>
          <w:iCs/>
          <w:color w:val="5A6B62"/>
          <w:sz w:val="18"/>
          <w:szCs w:val="18"/>
        </w:rPr>
        <w:t xml:space="preserve">BPMN N2 · Conductas de Convivencia Relacionadas con Animales · v1.0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5E46"/>
          <w:sz w:val="22"/>
          <w:szCs w:val="22"/>
        </w:rPr>
        <w:t xml:space="preserve">N2 · Registro y Permiso de Canino de Manejo Especial (v1.0). </w:t>
      </w:r>
      <w:r>
        <w:rPr>
          <w:rFonts w:ascii="Calibri" w:cs="Calibri" w:eastAsia="Calibri" w:hAnsi="Calibri"/>
          <w:sz w:val="22"/>
          <w:szCs w:val="22"/>
        </w:rPr>
        <w:t xml:space="preserve">Registro y permiso de caninos de manejo especial.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8229600" cy="1771650"/>
            <wp:effectExtent t="0" r="0" b="0" l="0"/>
            <wp:docPr id="1" name="bpmn-registro-permiso-canino.jpg" descr="BPMN N2 · Registro y Permiso de Canino de Manejo Especial · v1.0" title="BPMN N2 · Registro y Permiso de Canino de Manejo Especial · v1.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5E46"/>
          <w:sz w:val="18"/>
          <w:szCs w:val="18"/>
        </w:rPr>
        <w:t xml:space="preserve">Figura 18. </w:t>
      </w:r>
      <w:r>
        <w:rPr>
          <w:rFonts w:ascii="Calibri" w:cs="Calibri" w:eastAsia="Calibri" w:hAnsi="Calibri"/>
          <w:i/>
          <w:iCs/>
          <w:color w:val="5A6B62"/>
          <w:sz w:val="18"/>
          <w:szCs w:val="18"/>
        </w:rPr>
        <w:t xml:space="preserve">BPMN N2 · Registro y Permiso de Canino de Manejo Especial · v1.0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5E46"/>
          <w:sz w:val="22"/>
          <w:szCs w:val="22"/>
        </w:rPr>
        <w:t xml:space="preserve">N2 · Proceso Verbal de Maltrato Animal (v1.0). </w:t>
      </w:r>
      <w:r>
        <w:rPr>
          <w:rFonts w:ascii="Calibri" w:cs="Calibri" w:eastAsia="Calibri" w:hAnsi="Calibri"/>
          <w:sz w:val="22"/>
          <w:szCs w:val="22"/>
        </w:rPr>
        <w:t xml:space="preserve">Proceso verbal de maltrato animal; si hay posible delito, remisión a Fiscalía/GELMA.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8229600" cy="1228725"/>
            <wp:effectExtent t="0" r="0" b="0" l="0"/>
            <wp:docPr id="1" name="bpmn-proceso-maltrato-animal.jpg" descr="BPMN N2 · Proceso Verbal de Maltrato Animal · v1.0" title="BPMN N2 · Proceso Verbal de Maltrato Animal · v1.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5E46"/>
          <w:sz w:val="18"/>
          <w:szCs w:val="18"/>
        </w:rPr>
        <w:t xml:space="preserve">Figura 19. </w:t>
      </w:r>
      <w:r>
        <w:rPr>
          <w:rFonts w:ascii="Calibri" w:cs="Calibri" w:eastAsia="Calibri" w:hAnsi="Calibri"/>
          <w:i/>
          <w:iCs/>
          <w:color w:val="5A6B62"/>
          <w:sz w:val="18"/>
          <w:szCs w:val="18"/>
        </w:rPr>
        <w:t xml:space="preserve">BPMN N2 · Proceso Verbal de Maltrato Animal · v1.0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5E46"/>
          <w:sz w:val="22"/>
          <w:szCs w:val="22"/>
        </w:rPr>
        <w:t xml:space="preserve">N2 · Ambiental Preventiva / Remisión a Autoridad Ambiental (v1.1). </w:t>
      </w:r>
      <w:r>
        <w:rPr>
          <w:rFonts w:ascii="Calibri" w:cs="Calibri" w:eastAsia="Calibri" w:hAnsi="Calibri"/>
          <w:sz w:val="22"/>
          <w:szCs w:val="22"/>
        </w:rPr>
        <w:t xml:space="preserve">Medida preventiva municipal, cuando procede, y remisión a la autoridad ambiental competente.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8229600" cy="1390650"/>
            <wp:effectExtent t="0" r="0" b="0" l="0"/>
            <wp:docPr id="1" name="bpmn-ruta-ambiental-preventiva.jpg" descr="BPMN N2 · Ambiental Preventiva / Remisión a Autoridad Ambiental · v1.1" title="BPMN N2 · Ambiental Preventiva / Remisión a Autoridad Ambiental · v1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5E46"/>
          <w:sz w:val="18"/>
          <w:szCs w:val="18"/>
        </w:rPr>
        <w:t xml:space="preserve">Figura 20. </w:t>
      </w:r>
      <w:r>
        <w:rPr>
          <w:rFonts w:ascii="Calibri" w:cs="Calibri" w:eastAsia="Calibri" w:hAnsi="Calibri"/>
          <w:i/>
          <w:iCs/>
          <w:color w:val="5A6B62"/>
          <w:sz w:val="18"/>
          <w:szCs w:val="18"/>
        </w:rPr>
        <w:t xml:space="preserve">BPMN N2 · Ambiental Preventiva / Remisión a Autoridad Ambiental · v1.1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</w:rPr>
        <w:t xml:space="preserve">N3 · Instructivos especializados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5E46"/>
          <w:sz w:val="22"/>
          <w:szCs w:val="22"/>
        </w:rPr>
        <w:t xml:space="preserve">N3 · Audiencia del Proceso Verbal Abreviado (v1.0). </w:t>
      </w:r>
      <w:r>
        <w:rPr>
          <w:rFonts w:ascii="Calibri" w:cs="Calibri" w:eastAsia="Calibri" w:hAnsi="Calibri"/>
          <w:sz w:val="22"/>
          <w:szCs w:val="22"/>
        </w:rPr>
        <w:t xml:space="preserve">Audiencia del PVA: primera inasistencia, control de 3 días, pruebas, inspección ocular, suspensión/reanudación, audio y acta.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8229600" cy="1190625"/>
            <wp:effectExtent t="0" r="0" b="0" l="0"/>
            <wp:docPr id="1" name="bpmn-audiencia-pva.jpg" descr="BPMN N3 · Audiencia del Proceso Verbal Abreviado · v1.0" title="BPMN N3 · Audiencia del Proceso Verbal Abreviado · v1.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5E46"/>
          <w:sz w:val="18"/>
          <w:szCs w:val="18"/>
        </w:rPr>
        <w:t xml:space="preserve">Figura 21. </w:t>
      </w:r>
      <w:r>
        <w:rPr>
          <w:rFonts w:ascii="Calibri" w:cs="Calibri" w:eastAsia="Calibri" w:hAnsi="Calibri"/>
          <w:i/>
          <w:iCs/>
          <w:color w:val="5A6B62"/>
          <w:sz w:val="18"/>
          <w:szCs w:val="18"/>
        </w:rPr>
        <w:t xml:space="preserve">BPMN N3 · Audiencia del Proceso Verbal Abreviado · v1.0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5E46"/>
          <w:sz w:val="22"/>
          <w:szCs w:val="22"/>
        </w:rPr>
        <w:t xml:space="preserve">N3 · Audiencia Oral y Registro del Proceso de Maltrato Animal (v1.0). </w:t>
      </w:r>
      <w:r>
        <w:rPr>
          <w:rFonts w:ascii="Calibri" w:cs="Calibri" w:eastAsia="Calibri" w:hAnsi="Calibri"/>
          <w:sz w:val="22"/>
          <w:szCs w:val="22"/>
        </w:rPr>
        <w:t xml:space="preserve">Audiencia oral y registro del proceso de maltrato animal.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8229600" cy="1295400"/>
            <wp:effectExtent t="0" r="0" b="0" l="0"/>
            <wp:docPr id="1" name="bpmn-audiencia-maltrato-animal.jpg" descr="BPMN N3 · Audiencia Oral y Registro del Proceso de Maltrato Animal · v1.0" title="BPMN N3 · Audiencia Oral y Registro del Proceso de Maltrato Animal · v1.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5E46"/>
          <w:sz w:val="18"/>
          <w:szCs w:val="18"/>
        </w:rPr>
        <w:t xml:space="preserve">Figura 22. </w:t>
      </w:r>
      <w:r>
        <w:rPr>
          <w:rFonts w:ascii="Calibri" w:cs="Calibri" w:eastAsia="Calibri" w:hAnsi="Calibri"/>
          <w:i/>
          <w:iCs/>
          <w:color w:val="5A6B62"/>
          <w:sz w:val="18"/>
          <w:szCs w:val="18"/>
        </w:rPr>
        <w:t xml:space="preserve">BPMN N3 · Audiencia Oral y Registro del Proceso de Maltrato Animal · v1.0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5E46"/>
          <w:sz w:val="22"/>
          <w:szCs w:val="22"/>
        </w:rPr>
        <w:t xml:space="preserve">N3 · Orden de Policía · Registro, Cumplimiento y Seguimiento (v1.0). </w:t>
      </w:r>
      <w:r>
        <w:rPr>
          <w:rFonts w:ascii="Calibri" w:cs="Calibri" w:eastAsia="Calibri" w:hAnsi="Calibri"/>
          <w:sz w:val="22"/>
          <w:szCs w:val="22"/>
        </w:rPr>
        <w:t xml:space="preserve">Registro, cumplimiento y seguimiento de la Orden de Policía como figura independiente de la medida correctiva.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8229600" cy="1285875"/>
            <wp:effectExtent t="0" r="0" b="0" l="0"/>
            <wp:docPr id="1" name="bpmn-orden-policia.jpg" descr="BPMN N3 · Orden de Policía · Registro, Cumplimiento y Seguimiento · v1.0" title="BPMN N3 · Orden de Policía · Registro, Cumplimiento y Seguimiento · v1.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5E46"/>
          <w:sz w:val="18"/>
          <w:szCs w:val="18"/>
        </w:rPr>
        <w:t xml:space="preserve">Figura 23. </w:t>
      </w:r>
      <w:r>
        <w:rPr>
          <w:rFonts w:ascii="Calibri" w:cs="Calibri" w:eastAsia="Calibri" w:hAnsi="Calibri"/>
          <w:i/>
          <w:iCs/>
          <w:color w:val="5A6B62"/>
          <w:sz w:val="18"/>
          <w:szCs w:val="18"/>
        </w:rPr>
        <w:t xml:space="preserve">BPMN N3 · Orden de Policía · Registro, Cumplimiento y Seguimiento · v1.0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5E46"/>
          <w:sz w:val="22"/>
          <w:szCs w:val="22"/>
        </w:rPr>
        <w:t xml:space="preserve">N3 · Determinación e Imposición de Medidas Correctivas (v1.2). </w:t>
      </w:r>
      <w:r>
        <w:rPr>
          <w:rFonts w:ascii="Calibri" w:cs="Calibri" w:eastAsia="Calibri" w:hAnsi="Calibri"/>
          <w:sz w:val="22"/>
          <w:szCs w:val="22"/>
        </w:rPr>
        <w:t xml:space="preserve">Determinación e imposición de medidas correctivas a partir del comportamiento, artículo y numeral probados.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8229600" cy="1676400"/>
            <wp:effectExtent t="0" r="0" b="0" l="0"/>
            <wp:docPr id="1" name="bpmn-determinacion-medidas.jpg" descr="BPMN N3 · Determinación e Imposición de Medidas Correctivas · v1.2" title="BPMN N3 · Determinación e Imposición de Medidas Correctivas · v1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5E46"/>
          <w:sz w:val="18"/>
          <w:szCs w:val="18"/>
        </w:rPr>
        <w:t xml:space="preserve">Figura 24. </w:t>
      </w:r>
      <w:r>
        <w:rPr>
          <w:rFonts w:ascii="Calibri" w:cs="Calibri" w:eastAsia="Calibri" w:hAnsi="Calibri"/>
          <w:i/>
          <w:iCs/>
          <w:color w:val="5A6B62"/>
          <w:sz w:val="18"/>
          <w:szCs w:val="18"/>
        </w:rPr>
        <w:t xml:space="preserve">BPMN N3 · Determinación e Imposición de Medidas Correctivas · v1.2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5E46"/>
          <w:sz w:val="22"/>
          <w:szCs w:val="22"/>
        </w:rPr>
        <w:t xml:space="preserve">N3 · Notificación y Ejecutoria de Actos (v1.0). </w:t>
      </w:r>
      <w:r>
        <w:rPr>
          <w:rFonts w:ascii="Calibri" w:cs="Calibri" w:eastAsia="Calibri" w:hAnsi="Calibri"/>
          <w:sz w:val="22"/>
          <w:szCs w:val="22"/>
        </w:rPr>
        <w:t xml:space="preserve">Notificación de actos, término de recursos y constancia de ejecutoria/firmeza.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8229600" cy="1085850"/>
            <wp:effectExtent t="0" r="0" b="0" l="0"/>
            <wp:docPr id="1" name="bpmn-notificacion-ejecutoria.jpg" descr="BPMN N3 · Notificación y Ejecutoria de Actos · v1.0" title="BPMN N3 · Notificación y Ejecutoria de Actos · v1.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5E46"/>
          <w:sz w:val="18"/>
          <w:szCs w:val="18"/>
        </w:rPr>
        <w:t xml:space="preserve">Figura 25. </w:t>
      </w:r>
      <w:r>
        <w:rPr>
          <w:rFonts w:ascii="Calibri" w:cs="Calibri" w:eastAsia="Calibri" w:hAnsi="Calibri"/>
          <w:i/>
          <w:iCs/>
          <w:color w:val="5A6B62"/>
          <w:sz w:val="18"/>
          <w:szCs w:val="18"/>
        </w:rPr>
        <w:t xml:space="preserve">BPMN N3 · Notificación y Ejecutoria de Actos · v1.0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5E46"/>
          <w:sz w:val="22"/>
          <w:szCs w:val="22"/>
        </w:rPr>
        <w:t xml:space="preserve">N3 · Recursos y Segunda Instancia (v1.1). </w:t>
      </w:r>
      <w:r>
        <w:rPr>
          <w:rFonts w:ascii="Calibri" w:cs="Calibri" w:eastAsia="Calibri" w:hAnsi="Calibri"/>
          <w:sz w:val="22"/>
          <w:szCs w:val="22"/>
        </w:rPr>
        <w:t xml:space="preserve">Reposición, apelación y segunda instancia, con movimiento/custodia física del expediente.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8229600" cy="1495425"/>
            <wp:effectExtent t="0" r="0" b="0" l="0"/>
            <wp:docPr id="1" name="bpmn-recursos-segunda-instancia.jpg" descr="BPMN N3 · Recursos y Segunda Instancia · v1.1" title="BPMN N3 · Recursos y Segunda Instancia · v1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5E46"/>
          <w:sz w:val="18"/>
          <w:szCs w:val="18"/>
        </w:rPr>
        <w:t xml:space="preserve">Figura 26. </w:t>
      </w:r>
      <w:r>
        <w:rPr>
          <w:rFonts w:ascii="Calibri" w:cs="Calibri" w:eastAsia="Calibri" w:hAnsi="Calibri"/>
          <w:i/>
          <w:iCs/>
          <w:color w:val="5A6B62"/>
          <w:sz w:val="18"/>
          <w:szCs w:val="18"/>
        </w:rPr>
        <w:t xml:space="preserve">BPMN N3 · Recursos y Segunda Instancia · v1.1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5E46"/>
          <w:sz w:val="22"/>
          <w:szCs w:val="22"/>
        </w:rPr>
        <w:t xml:space="preserve">N3 · Gestión y Ejecución de Medidas Correctivas (v1.0). </w:t>
      </w:r>
      <w:r>
        <w:rPr>
          <w:rFonts w:ascii="Calibri" w:cs="Calibri" w:eastAsia="Calibri" w:hAnsi="Calibri"/>
          <w:sz w:val="22"/>
          <w:szCs w:val="22"/>
        </w:rPr>
        <w:t xml:space="preserve">Gestión y ejecución de las medidas correctivas impuestas y verificación de su cumplimiento.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8229600" cy="1524000"/>
            <wp:effectExtent t="0" r="0" b="0" l="0"/>
            <wp:docPr id="1" name="bpmn-medidas-correctivas.jpg" descr="BPMN N3 · Gestión y Ejecución de Medidas Correctivas · v1.0" title="BPMN N3 · Gestión y Ejecución de Medidas Correctivas · v1.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5E46"/>
          <w:sz w:val="18"/>
          <w:szCs w:val="18"/>
        </w:rPr>
        <w:t xml:space="preserve">Figura 27. </w:t>
      </w:r>
      <w:r>
        <w:rPr>
          <w:rFonts w:ascii="Calibri" w:cs="Calibri" w:eastAsia="Calibri" w:hAnsi="Calibri"/>
          <w:i/>
          <w:iCs/>
          <w:color w:val="5A6B62"/>
          <w:sz w:val="18"/>
          <w:szCs w:val="18"/>
        </w:rPr>
        <w:t xml:space="preserve">BPMN N3 · Gestión y Ejecución de Medidas Correctivas · v1.0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5E46"/>
          <w:sz w:val="22"/>
          <w:szCs w:val="22"/>
        </w:rPr>
        <w:t xml:space="preserve">N3 · Ejecución Pecuniaria / Tesorería (v1.1). </w:t>
      </w:r>
      <w:r>
        <w:rPr>
          <w:rFonts w:ascii="Calibri" w:cs="Calibri" w:eastAsia="Calibri" w:hAnsi="Calibri"/>
          <w:sz w:val="22"/>
          <w:szCs w:val="22"/>
        </w:rPr>
        <w:t xml:space="preserve">Remisión a Tesorería de multas en firme y seguimiento (alerta operativa, sin cobro coactivo automático).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8229600" cy="1257300"/>
            <wp:effectExtent t="0" r="0" b="0" l="0"/>
            <wp:docPr id="1" name="bpmn-tesoreria-ejecucion.jpg" descr="BPMN N3 · Ejecución Pecuniaria / Tesorería · v1.1" title="BPMN N3 · Ejecución Pecuniaria / Tesorería · v1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5E46"/>
          <w:sz w:val="18"/>
          <w:szCs w:val="18"/>
        </w:rPr>
        <w:t xml:space="preserve">Figura 28. </w:t>
      </w:r>
      <w:r>
        <w:rPr>
          <w:rFonts w:ascii="Calibri" w:cs="Calibri" w:eastAsia="Calibri" w:hAnsi="Calibri"/>
          <w:i/>
          <w:iCs/>
          <w:color w:val="5A6B62"/>
          <w:sz w:val="18"/>
          <w:szCs w:val="18"/>
        </w:rPr>
        <w:t xml:space="preserve">BPMN N3 · Ejecución Pecuniaria / Tesorería · v1.1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</w:rPr>
        <w:t xml:space="preserve">N2 · Procedimientos / rutas específicas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5E46"/>
          <w:sz w:val="22"/>
          <w:szCs w:val="22"/>
        </w:rPr>
        <w:t xml:space="preserve">N2 · Auto de Archivo y Cierre Documental del Expediente (v1.1). </w:t>
      </w:r>
      <w:r>
        <w:rPr>
          <w:rFonts w:ascii="Calibri" w:cs="Calibri" w:eastAsia="Calibri" w:hAnsi="Calibri"/>
          <w:sz w:val="22"/>
          <w:szCs w:val="22"/>
        </w:rPr>
        <w:t xml:space="preserve">Auto de Archivo como acto jurídico de cierre y cierre documental del expediente.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8229600" cy="1190625"/>
            <wp:effectExtent t="0" r="0" b="0" l="0"/>
            <wp:docPr id="1" name="bpmn-auto-archivo-cierre.jpg" descr="BPMN N2 · Auto de Archivo y Cierre Documental del Expediente · v1.1" title="BPMN N2 · Auto de Archivo y Cierre Documental del Expediente · v1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5E46"/>
          <w:sz w:val="18"/>
          <w:szCs w:val="18"/>
        </w:rPr>
        <w:t xml:space="preserve">Figura 29. </w:t>
      </w:r>
      <w:r>
        <w:rPr>
          <w:rFonts w:ascii="Calibri" w:cs="Calibri" w:eastAsia="Calibri" w:hAnsi="Calibri"/>
          <w:i/>
          <w:iCs/>
          <w:color w:val="5A6B62"/>
          <w:sz w:val="18"/>
          <w:szCs w:val="18"/>
        </w:rPr>
        <w:t xml:space="preserve">BPMN N2 · Auto de Archivo y Cierre Documental del Expediente · v1.1</w:t>
      </w:r>
    </w:p>
    <w:p>
      <w:pPr>
        <w:sectPr>
          <w:footerReference w:type="default" r:id="rId8"/>
          <w:pgSz w:w="15840" w:h="12240" w:orient="landscape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2.7 Visor web del modelo: páginas publicadas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El visor (inspeccionambiental.deploy.geotrends.co) es la herramienta de consulta del modelo para el equipo de la Inspección y para el equipo de desarrollo. Tiene nueve páginas: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</w:rPr>
        <w:t xml:space="preserve">Proceso · detalle de un elemento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Vista principal del visor. Muestra el diagrama activo y, al seleccionar una actividad, compuerta o evento, abre la ficha con descripción, responsable/actor, análisis o decisión requerida, formatos y soportes, tiempos y el siguiente procedimiento.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3533775"/>
            <wp:effectExtent t="0" r="0" b="0" l="0"/>
            <wp:docPr id="1" name="viewer-detalle.jpg" descr="Visor del modelo · página «Proceso · detalle de un elemento»" title="Visor del modelo · página «Proceso · detalle de un elemento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5E46"/>
          <w:sz w:val="18"/>
          <w:szCs w:val="18"/>
        </w:rPr>
        <w:t xml:space="preserve">Figura 30. </w:t>
      </w:r>
      <w:r>
        <w:rPr>
          <w:rFonts w:ascii="Calibri" w:cs="Calibri" w:eastAsia="Calibri" w:hAnsi="Calibri"/>
          <w:i/>
          <w:iCs/>
          <w:color w:val="5A6B62"/>
          <w:sz w:val="18"/>
          <w:szCs w:val="18"/>
        </w:rPr>
        <w:t xml:space="preserve">Visor del modelo · página «Proceso · detalle de un elemento»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</w:rPr>
        <w:t xml:space="preserve">Roles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Organigrama y flujo de actuación de roles: quién interviene, en qué momento, qué puede decidir y qué debe diligenciar. Incluye 17 roles y la matriz de permisos funcionales por módulo.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3533775"/>
            <wp:effectExtent t="0" r="0" b="0" l="0"/>
            <wp:docPr id="1" name="viewer-roles.jpg" descr="Visor del modelo · página «Roles»" title="Visor del modelo · página «Roles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5E46"/>
          <w:sz w:val="18"/>
          <w:szCs w:val="18"/>
        </w:rPr>
        <w:t xml:space="preserve">Figura 31. </w:t>
      </w:r>
      <w:r>
        <w:rPr>
          <w:rFonts w:ascii="Calibri" w:cs="Calibri" w:eastAsia="Calibri" w:hAnsi="Calibri"/>
          <w:i/>
          <w:iCs/>
          <w:color w:val="5A6B62"/>
          <w:sz w:val="18"/>
          <w:szCs w:val="18"/>
        </w:rPr>
        <w:t xml:space="preserve">Visor del modelo · página «Roles»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</w:rPr>
        <w:t xml:space="preserve">Formatos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Matriz de 32 formatos y soportes (IV-F-007, IV-F-194, IV-F-364, Auto de Archivo, comparendo, citación, etc.): uso, quién diligencia/valida, carga al CRM y etapa. Los pendientes aparecen como POR VALIDAR.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3533775"/>
            <wp:effectExtent t="0" r="0" b="0" l="0"/>
            <wp:docPr id="1" name="viewer-formats.jpg" descr="Visor del modelo · página «Formatos»" title="Visor del modelo · página «Formatos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5E46"/>
          <w:sz w:val="18"/>
          <w:szCs w:val="18"/>
        </w:rPr>
        <w:t xml:space="preserve">Figura 32. </w:t>
      </w:r>
      <w:r>
        <w:rPr>
          <w:rFonts w:ascii="Calibri" w:cs="Calibri" w:eastAsia="Calibri" w:hAnsi="Calibri"/>
          <w:i/>
          <w:iCs/>
          <w:color w:val="5A6B62"/>
          <w:sz w:val="18"/>
          <w:szCs w:val="18"/>
        </w:rPr>
        <w:t xml:space="preserve">Visor del modelo · página «Formatos»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</w:rPr>
        <w:t xml:space="preserve">Términos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Vocabulario controlado con 95 definiciones técnicas, jurídicas, documentales y funcionales, incluida la actualización de la reunión del 08-09-2026.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3533775"/>
            <wp:effectExtent t="0" r="0" b="0" l="0"/>
            <wp:docPr id="1" name="viewer-terms.jpg" descr="Visor del modelo · página «Términos»" title="Visor del modelo · página «Términos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5E46"/>
          <w:sz w:val="18"/>
          <w:szCs w:val="18"/>
        </w:rPr>
        <w:t xml:space="preserve">Figura 33. </w:t>
      </w:r>
      <w:r>
        <w:rPr>
          <w:rFonts w:ascii="Calibri" w:cs="Calibri" w:eastAsia="Calibri" w:hAnsi="Calibri"/>
          <w:i/>
          <w:iCs/>
          <w:color w:val="5A6B62"/>
          <w:sz w:val="18"/>
          <w:szCs w:val="18"/>
        </w:rPr>
        <w:t xml:space="preserve">Visor del modelo · página «Términos»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</w:rPr>
        <w:t xml:space="preserve">Tiempos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Simulador de vencimientos por tipo de trámite y matriz de 31 relojes legales o institucionales por proceso N0 a N3, con inicio, fin, condición y fuente. Donde no hay fuente expresa se marca POR VALIDAR.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3533775"/>
            <wp:effectExtent t="0" r="0" b="0" l="0"/>
            <wp:docPr id="1" name="viewer-times.jpg" descr="Visor del modelo · página «Tiempos»" title="Visor del modelo · página «Tiempos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5E46"/>
          <w:sz w:val="18"/>
          <w:szCs w:val="18"/>
        </w:rPr>
        <w:t xml:space="preserve">Figura 34. </w:t>
      </w:r>
      <w:r>
        <w:rPr>
          <w:rFonts w:ascii="Calibri" w:cs="Calibri" w:eastAsia="Calibri" w:hAnsi="Calibri"/>
          <w:i/>
          <w:iCs/>
          <w:color w:val="5A6B62"/>
          <w:sz w:val="18"/>
          <w:szCs w:val="18"/>
        </w:rPr>
        <w:t xml:space="preserve">Visor del modelo · página «Tiempos»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</w:rPr>
        <w:t xml:space="preserve">Medidas correctivas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Selección jurídicamente controlada: el Inspector parte del comportamiento, artículo y numeral y el sistema muestra solo las medidas asociadas (43 comportamientos y 14 tipos de medida), con control de autoridad e instancia.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3533775"/>
            <wp:effectExtent t="0" r="0" b="0" l="0"/>
            <wp:docPr id="1" name="viewer-measures.jpg" descr="Visor del modelo · página «Medidas correctivas»" title="Visor del modelo · página «Medidas correctivas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5E46"/>
          <w:sz w:val="18"/>
          <w:szCs w:val="18"/>
        </w:rPr>
        <w:t xml:space="preserve">Figura 35. </w:t>
      </w:r>
      <w:r>
        <w:rPr>
          <w:rFonts w:ascii="Calibri" w:cs="Calibri" w:eastAsia="Calibri" w:hAnsi="Calibri"/>
          <w:i/>
          <w:iCs/>
          <w:color w:val="5A6B62"/>
          <w:sz w:val="18"/>
          <w:szCs w:val="18"/>
        </w:rPr>
        <w:t xml:space="preserve">Visor del modelo · página «Medidas correctivas»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</w:rPr>
        <w:t xml:space="preserve">Modelo de datos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Modelo de dominio del CRM con 37 entidades y 41 relaciones (Case, Expediente, actuación inmediata, Orden de Policía, audiencia, medidas, movimientos físicos y trámites especializados), con propósito y campos preliminares por entidad.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3533775"/>
            <wp:effectExtent t="0" r="0" b="0" l="0"/>
            <wp:docPr id="1" name="viewer-domain.jpg" descr="Visor del modelo · página «Modelo de datos»" title="Visor del modelo · página «Modelo de datos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5E46"/>
          <w:sz w:val="18"/>
          <w:szCs w:val="18"/>
        </w:rPr>
        <w:t xml:space="preserve">Figura 36. </w:t>
      </w:r>
      <w:r>
        <w:rPr>
          <w:rFonts w:ascii="Calibri" w:cs="Calibri" w:eastAsia="Calibri" w:hAnsi="Calibri"/>
          <w:i/>
          <w:iCs/>
          <w:color w:val="5A6B62"/>
          <w:sz w:val="18"/>
          <w:szCs w:val="18"/>
        </w:rPr>
        <w:t xml:space="preserve">Visor del modelo · página «Modelo de datos»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</w:rPr>
        <w:t xml:space="preserve">Reglas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53 principios de negocio y de modelado sincronizados con los BPMN, la reunión del 08-09-2026 y las validaciones jurídicas vigentes.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3533775"/>
            <wp:effectExtent t="0" r="0" b="0" l="0"/>
            <wp:docPr id="1" name="viewer-rules.jpg" descr="Visor del modelo · página «Reglas»" title="Visor del modelo · página «Reglas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5E46"/>
          <w:sz w:val="18"/>
          <w:szCs w:val="18"/>
        </w:rPr>
        <w:t xml:space="preserve">Figura 37. </w:t>
      </w:r>
      <w:r>
        <w:rPr>
          <w:rFonts w:ascii="Calibri" w:cs="Calibri" w:eastAsia="Calibri" w:hAnsi="Calibri"/>
          <w:i/>
          <w:iCs/>
          <w:color w:val="5A6B62"/>
          <w:sz w:val="18"/>
          <w:szCs w:val="18"/>
        </w:rPr>
        <w:t xml:space="preserve">Visor del modelo · página «Reglas»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</w:rPr>
        <w:t xml:space="preserve">RNMC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Módulo del Registro Nacional de Medidas Correctivas: términos, checklist de 20 verificaciones, 8 comportamientos, tiempos, reglas, formatos y la entidad de dominio correspondiente.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3533775"/>
            <wp:effectExtent t="0" r="0" b="0" l="0"/>
            <wp:docPr id="1" name="viewer-rnmc.jpg" descr="Visor del modelo · página «RNMC»" title="Visor del modelo · página «RNMC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5E46"/>
          <w:sz w:val="18"/>
          <w:szCs w:val="18"/>
        </w:rPr>
        <w:t xml:space="preserve">Figura 38. </w:t>
      </w:r>
      <w:r>
        <w:rPr>
          <w:rFonts w:ascii="Calibri" w:cs="Calibri" w:eastAsia="Calibri" w:hAnsi="Calibri"/>
          <w:i/>
          <w:iCs/>
          <w:color w:val="5A6B62"/>
          <w:sz w:val="18"/>
          <w:szCs w:val="18"/>
        </w:rPr>
        <w:t xml:space="preserve">Visor del modelo · página «RNMC»</w:t>
      </w:r>
    </w:p>
    <w:p>
      <w:pPr>
        <w:pStyle w:val="Heading1"/>
        <w:pageBreakBefore/>
        <w:spacing w:after="200"/>
      </w:pPr>
      <w:r>
        <w:rPr>
          <w:rFonts w:ascii="Calibri" w:cs="Calibri" w:eastAsia="Calibri" w:hAnsi="Calibri"/>
        </w:rPr>
        <w:t xml:space="preserve">3. Plataforma CRM: lo implementado en el software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3.1 Arquitectura técnica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EspoCRM 10.0.6 sobre PostgreSQL, en contenedores Docker (aplicación, daemon, websocket y base de datos) y desplegado con Dokploy.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Capa propia en espocrm-custom: controladores, 43 entidades, hooks de negocio, servicios, puntos de descarga de PDF/Excel, tareas programadas, metadata de pantallas y permisos, y un frontend con tema institucional.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Generación de PDF a partir de las plantillas oficiales (formato de solicitud, acta de visita, actuo de archivo) mediante LibreOffice y Python.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Persistencia separada en volúmenes (data, custom, client/custom) y despliegue automático del custom al arrancar el contenedor.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Auditoría con el stream nativo (historia), campos auditados y fechas y usuarios de creación y modificación en cada registro.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3.2 Acceso, roles y menú por proceso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El acceso usa una pantalla institucional con la marca de la Alcaldía. Los roles y usuarios siguen la matriz de roles del modelo (matriz_roles_v1.0): 4 roles operativos con permisos completos y probados, 9 roles nuevos con permisos preliminares y un usuario de prueba por rol. El menú lateral se agrupa por proceso (Gestión, Gestión Técnica, Proceso Verbal Abreviado, Policía y RNMC, Otras rutas, Seguimiento) y cada rol ve solo los grupos a los que tiene acceso.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login.jpg" descr="Pantalla de inicio de sesión del CRM" title="Pantalla de inicio de sesión del C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5E46"/>
          <w:sz w:val="18"/>
          <w:szCs w:val="18"/>
        </w:rPr>
        <w:t xml:space="preserve">Figura 39. </w:t>
      </w:r>
      <w:r>
        <w:rPr>
          <w:rFonts w:ascii="Calibri" w:cs="Calibri" w:eastAsia="Calibri" w:hAnsi="Calibri"/>
          <w:i/>
          <w:iCs/>
          <w:color w:val="5A6B62"/>
          <w:sz w:val="18"/>
          <w:szCs w:val="18"/>
        </w:rPr>
        <w:t xml:space="preserve">Pantalla de inicio de sesión del CRM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rol-inspector.jpg" descr="Inicio con el rol Inspector Ambiental" title="Inicio con el rol Inspector Ambien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5E46"/>
          <w:sz w:val="18"/>
          <w:szCs w:val="18"/>
        </w:rPr>
        <w:t xml:space="preserve">Figura 40. </w:t>
      </w:r>
      <w:r>
        <w:rPr>
          <w:rFonts w:ascii="Calibri" w:cs="Calibri" w:eastAsia="Calibri" w:hAnsi="Calibri"/>
          <w:i/>
          <w:iCs/>
          <w:color w:val="5A6B62"/>
          <w:sz w:val="18"/>
          <w:szCs w:val="18"/>
        </w:rPr>
        <w:t xml:space="preserve">Inicio con el rol Inspector Ambiental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rol-radicacion.jpg" descr="Inicio con el rol Auxiliar Administrativo · Radicador: menú reducido a sus funciones" title="Inicio con el rol Auxiliar Administrativo · Radicador: menú reducido a sus funci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5E46"/>
          <w:sz w:val="18"/>
          <w:szCs w:val="18"/>
        </w:rPr>
        <w:t xml:space="preserve">Figura 41. </w:t>
      </w:r>
      <w:r>
        <w:rPr>
          <w:rFonts w:ascii="Calibri" w:cs="Calibri" w:eastAsia="Calibri" w:hAnsi="Calibri"/>
          <w:i/>
          <w:iCs/>
          <w:color w:val="5A6B62"/>
          <w:sz w:val="18"/>
          <w:szCs w:val="18"/>
        </w:rPr>
        <w:t xml:space="preserve">Inicio con el rol Auxiliar Administrativo · Radicador: menú reducido a sus funciones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rol-patrullaje.jpg" descr="Inicio con el rol Patrullero Ambiental" title="Inicio con el rol Patrullero Ambien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5E46"/>
          <w:sz w:val="18"/>
          <w:szCs w:val="18"/>
        </w:rPr>
        <w:t xml:space="preserve">Figura 42. </w:t>
      </w:r>
      <w:r>
        <w:rPr>
          <w:rFonts w:ascii="Calibri" w:cs="Calibri" w:eastAsia="Calibri" w:hAnsi="Calibri"/>
          <w:i/>
          <w:iCs/>
          <w:color w:val="5A6B62"/>
          <w:sz w:val="18"/>
          <w:szCs w:val="18"/>
        </w:rPr>
        <w:t xml:space="preserve">Inicio con el rol Patrullero Ambiental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3.3 Inicio y tablero de control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La página de inicio presenta el propósito de la plataforma y el flujo de atención, con pestañas de acceso rápido: Dashboard (tablero con filtros, semáforo de vencimiento, estado del proceso y canal de reporte), Gestión de casos (bandejas por etapa), Agenda, Historial de asignaciones e Historial de visitas.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home.jpg" descr="Página de inicio del CRM (administrador)" title="Página de inicio del CRM (administrador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5E46"/>
          <w:sz w:val="18"/>
          <w:szCs w:val="18"/>
        </w:rPr>
        <w:t xml:space="preserve">Figura 43. </w:t>
      </w:r>
      <w:r>
        <w:rPr>
          <w:rFonts w:ascii="Calibri" w:cs="Calibri" w:eastAsia="Calibri" w:hAnsi="Calibri"/>
          <w:i/>
          <w:iCs/>
          <w:color w:val="5A6B62"/>
          <w:sz w:val="18"/>
          <w:szCs w:val="18"/>
        </w:rPr>
        <w:t xml:space="preserve">Página de inicio del CRM (administrador)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home-tab-Dashboard.jpg" descr="Tablero de control: indicadores, filtros, semáforo de vencimiento y distribución por estado" title="Tablero de control: indicadores, filtros, semáforo de vencimiento y distribución por est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5E46"/>
          <w:sz w:val="18"/>
          <w:szCs w:val="18"/>
        </w:rPr>
        <w:t xml:space="preserve">Figura 44. </w:t>
      </w:r>
      <w:r>
        <w:rPr>
          <w:rFonts w:ascii="Calibri" w:cs="Calibri" w:eastAsia="Calibri" w:hAnsi="Calibri"/>
          <w:i/>
          <w:iCs/>
          <w:color w:val="5A6B62"/>
          <w:sz w:val="18"/>
          <w:szCs w:val="18"/>
        </w:rPr>
        <w:t xml:space="preserve">Tablero de control: indicadores, filtros, semáforo de vencimiento y distribución por estado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home-tab-Gesti_n_de_casos.jpg" descr="Gestión de casos: bandejas de trabajo por etapa" title="Gestión de casos: bandejas de trabajo por etap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5E46"/>
          <w:sz w:val="18"/>
          <w:szCs w:val="18"/>
        </w:rPr>
        <w:t xml:space="preserve">Figura 45. </w:t>
      </w:r>
      <w:r>
        <w:rPr>
          <w:rFonts w:ascii="Calibri" w:cs="Calibri" w:eastAsia="Calibri" w:hAnsi="Calibri"/>
          <w:i/>
          <w:iCs/>
          <w:color w:val="5A6B62"/>
          <w:sz w:val="18"/>
          <w:szCs w:val="18"/>
        </w:rPr>
        <w:t xml:space="preserve">Gestión de casos: bandejas de trabajo por etapa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home-tab-Historial_de_asignaciones.jpg" descr="Historial de asignaciones y reasignaciones" title="Historial de asignaciones y reasignaci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5E46"/>
          <w:sz w:val="18"/>
          <w:szCs w:val="18"/>
        </w:rPr>
        <w:t xml:space="preserve">Figura 46. </w:t>
      </w:r>
      <w:r>
        <w:rPr>
          <w:rFonts w:ascii="Calibri" w:cs="Calibri" w:eastAsia="Calibri" w:hAnsi="Calibri"/>
          <w:i/>
          <w:iCs/>
          <w:color w:val="5A6B62"/>
          <w:sz w:val="18"/>
          <w:szCs w:val="18"/>
        </w:rPr>
        <w:t xml:space="preserve">Historial de asignaciones y reasignaciones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home-tab-Historial_de_visitas.jpg" descr="Historial de visitas" title="Historial de visit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5E46"/>
          <w:sz w:val="18"/>
          <w:szCs w:val="18"/>
        </w:rPr>
        <w:t xml:space="preserve">Figura 47. </w:t>
      </w:r>
      <w:r>
        <w:rPr>
          <w:rFonts w:ascii="Calibri" w:cs="Calibri" w:eastAsia="Calibri" w:hAnsi="Calibri"/>
          <w:i/>
          <w:iCs/>
          <w:color w:val="5A6B62"/>
          <w:sz w:val="18"/>
          <w:szCs w:val="18"/>
        </w:rPr>
        <w:t xml:space="preserve">Historial de visitas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3.4 Casos: registro, radicación y trazabilidad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El Case es la entidad central. Su formulario cubre el registro de la solicitud (canal, clase de escrito, régimen de respuesta y término), el peticionario y el presunto infractor, la queja y la radicación. El detalle muestra la acción requerida según la etapa y los paneles de línea de tiempo, cronograma, visitas, formatos generados, historia y comunicaciones.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Case-list.jpg" descr="Listado de casos con estado y responsable" title="Listado de casos con estado y respons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5E46"/>
          <w:sz w:val="18"/>
          <w:szCs w:val="18"/>
        </w:rPr>
        <w:t xml:space="preserve">Figura 48. </w:t>
      </w:r>
      <w:r>
        <w:rPr>
          <w:rFonts w:ascii="Calibri" w:cs="Calibri" w:eastAsia="Calibri" w:hAnsi="Calibri"/>
          <w:i/>
          <w:iCs/>
          <w:color w:val="5A6B62"/>
          <w:sz w:val="18"/>
          <w:szCs w:val="18"/>
        </w:rPr>
        <w:t xml:space="preserve">Listado de casos con estado y responsable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Case-detail.jpg" descr="Detalle del caso: acción requerida, registro de la solicitud y paneles de seguimiento" title="Detalle del caso: acción requerida, registro de la solicitud y paneles de seguimien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5E46"/>
          <w:sz w:val="18"/>
          <w:szCs w:val="18"/>
        </w:rPr>
        <w:t xml:space="preserve">Figura 49. </w:t>
      </w:r>
      <w:r>
        <w:rPr>
          <w:rFonts w:ascii="Calibri" w:cs="Calibri" w:eastAsia="Calibri" w:hAnsi="Calibri"/>
          <w:i/>
          <w:iCs/>
          <w:color w:val="5A6B62"/>
          <w:sz w:val="18"/>
          <w:szCs w:val="18"/>
        </w:rPr>
        <w:t xml:space="preserve">Detalle del caso: acción requerida, registro de la solicitud y paneles de seguimiento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case-L_nea_de_tiempo.jpg" descr="Panel «Línea de tiempo» del caso: avance por etapas" title="Panel «Línea de tiempo» del caso: avance por etap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5E46"/>
          <w:sz w:val="18"/>
          <w:szCs w:val="18"/>
        </w:rPr>
        <w:t xml:space="preserve">Figura 50. </w:t>
      </w:r>
      <w:r>
        <w:rPr>
          <w:rFonts w:ascii="Calibri" w:cs="Calibri" w:eastAsia="Calibri" w:hAnsi="Calibri"/>
          <w:i/>
          <w:iCs/>
          <w:color w:val="5A6B62"/>
          <w:sz w:val="18"/>
          <w:szCs w:val="18"/>
        </w:rPr>
        <w:t xml:space="preserve">Panel «Línea de tiempo» del caso: avance por etapas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case-Cronograma.jpg" descr="Panel «Cronograma» del caso: fechas y etapas" title="Panel «Cronograma» del caso: fechas y etap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5E46"/>
          <w:sz w:val="18"/>
          <w:szCs w:val="18"/>
        </w:rPr>
        <w:t xml:space="preserve">Figura 51. </w:t>
      </w:r>
      <w:r>
        <w:rPr>
          <w:rFonts w:ascii="Calibri" w:cs="Calibri" w:eastAsia="Calibri" w:hAnsi="Calibri"/>
          <w:i/>
          <w:iCs/>
          <w:color w:val="5A6B62"/>
          <w:sz w:val="18"/>
          <w:szCs w:val="18"/>
        </w:rPr>
        <w:t xml:space="preserve">Panel «Cronograma» del caso: fechas y etapas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RelacionCasos-detail.jpg" descr="Relación de casos: agrupación operativa de casos relacionados" title="Relación de casos: agrupación operativa de casos relaciona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5E46"/>
          <w:sz w:val="18"/>
          <w:szCs w:val="18"/>
        </w:rPr>
        <w:t xml:space="preserve">Figura 52. </w:t>
      </w:r>
      <w:r>
        <w:rPr>
          <w:rFonts w:ascii="Calibri" w:cs="Calibri" w:eastAsia="Calibri" w:hAnsi="Calibri"/>
          <w:i/>
          <w:iCs/>
          <w:color w:val="5A6B62"/>
          <w:sz w:val="18"/>
          <w:szCs w:val="18"/>
        </w:rPr>
        <w:t xml:space="preserve">Relación de casos: agrupación operativa de casos relacionados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3.5 Gestión técnica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La gestión técnica separa su estado del Case. GestionTecnica agrupa las intervenciones (visita, medición, informe), las recomendaciones y compromisos y la verificación de cumplimiento. El Acta de Visita conserva su numeración y la generación de PDF.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GestionTecnica-detail.jpg" descr="Gestión técnica asociada al caso" title="Gestión técnica asociada al ca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5E46"/>
          <w:sz w:val="18"/>
          <w:szCs w:val="18"/>
        </w:rPr>
        <w:t xml:space="preserve">Figura 53. </w:t>
      </w:r>
      <w:r>
        <w:rPr>
          <w:rFonts w:ascii="Calibri" w:cs="Calibri" w:eastAsia="Calibri" w:hAnsi="Calibri"/>
          <w:i/>
          <w:iCs/>
          <w:color w:val="5A6B62"/>
          <w:sz w:val="18"/>
          <w:szCs w:val="18"/>
        </w:rPr>
        <w:t xml:space="preserve">Gestión técnica asociada al caso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ActaVisita-detail.jpg" descr="Acta de visita con formato PDF generado" title="Acta de visita con formato PDF gener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5E46"/>
          <w:sz w:val="18"/>
          <w:szCs w:val="18"/>
        </w:rPr>
        <w:t xml:space="preserve">Figura 54. </w:t>
      </w:r>
      <w:r>
        <w:rPr>
          <w:rFonts w:ascii="Calibri" w:cs="Calibri" w:eastAsia="Calibri" w:hAnsi="Calibri"/>
          <w:i/>
          <w:iCs/>
          <w:color w:val="5A6B62"/>
          <w:sz w:val="18"/>
          <w:szCs w:val="18"/>
        </w:rPr>
        <w:t xml:space="preserve">Acta de visita con formato PDF generado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IntervencionTecnica-detail.jpg" descr="Intervención técnica (medición / informe) con resultados y soportes" title="Intervención técnica (medición / informe) con resultados y sopor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5E46"/>
          <w:sz w:val="18"/>
          <w:szCs w:val="18"/>
        </w:rPr>
        <w:t xml:space="preserve">Figura 55. </w:t>
      </w:r>
      <w:r>
        <w:rPr>
          <w:rFonts w:ascii="Calibri" w:cs="Calibri" w:eastAsia="Calibri" w:hAnsi="Calibri"/>
          <w:i/>
          <w:iCs/>
          <w:color w:val="5A6B62"/>
          <w:sz w:val="18"/>
          <w:szCs w:val="18"/>
        </w:rPr>
        <w:t xml:space="preserve">Intervención técnica (medición / informe) con resultados y soportes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RecomendacionTecnica-detail.jpg" descr="Recomendación técnica" title="Recomendación técn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5E46"/>
          <w:sz w:val="18"/>
          <w:szCs w:val="18"/>
        </w:rPr>
        <w:t xml:space="preserve">Figura 56. </w:t>
      </w:r>
      <w:r>
        <w:rPr>
          <w:rFonts w:ascii="Calibri" w:cs="Calibri" w:eastAsia="Calibri" w:hAnsi="Calibri"/>
          <w:i/>
          <w:iCs/>
          <w:color w:val="5A6B62"/>
          <w:sz w:val="18"/>
          <w:szCs w:val="18"/>
        </w:rPr>
        <w:t xml:space="preserve">Recomendación técnica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VerificacionCumplimiento-detail.jpg" descr="Verificación de cumplimiento" title="Verificación de cumplimien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5E46"/>
          <w:sz w:val="18"/>
          <w:szCs w:val="18"/>
        </w:rPr>
        <w:t xml:space="preserve">Figura 57. </w:t>
      </w:r>
      <w:r>
        <w:rPr>
          <w:rFonts w:ascii="Calibri" w:cs="Calibri" w:eastAsia="Calibri" w:hAnsi="Calibri"/>
          <w:i/>
          <w:iCs/>
          <w:color w:val="5A6B62"/>
          <w:sz w:val="18"/>
          <w:szCs w:val="18"/>
        </w:rPr>
        <w:t xml:space="preserve">Verificación de cumplimiento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EvaluacionResultado-detail.jpg" descr="Evaluación de resultado y definición de ruta" title="Evaluación de resultado y definición de ru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5E46"/>
          <w:sz w:val="18"/>
          <w:szCs w:val="18"/>
        </w:rPr>
        <w:t xml:space="preserve">Figura 58. </w:t>
      </w:r>
      <w:r>
        <w:rPr>
          <w:rFonts w:ascii="Calibri" w:cs="Calibri" w:eastAsia="Calibri" w:hAnsi="Calibri"/>
          <w:i/>
          <w:iCs/>
          <w:color w:val="5A6B62"/>
          <w:sz w:val="18"/>
          <w:szCs w:val="18"/>
        </w:rPr>
        <w:t xml:space="preserve">Evaluación de resultado y definición de ruta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3.6 Expediente y rutas jurídicas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Tras la evaluación, la decisión de ruta jurídica (DecisionRutaJuridica) registra el desenlace y su motivación. El Expediente se abre con consecutivo propio y muestra los pasos del proceso policivo. El Proceso Verbal Abreviado quedó implementado completo (audiencia, suspensión, grabación, orden de policía, medidas correctivas y su ejecución, notificación, recursos y movimiento del expediente).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DecisionRutaJuridica-detail.jpg" descr="Decisión de ruta jurídica con fundamento normativo y motivación" title="Decisión de ruta jurídica con fundamento normativo y motiv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5E46"/>
          <w:sz w:val="18"/>
          <w:szCs w:val="18"/>
        </w:rPr>
        <w:t xml:space="preserve">Figura 59. </w:t>
      </w:r>
      <w:r>
        <w:rPr>
          <w:rFonts w:ascii="Calibri" w:cs="Calibri" w:eastAsia="Calibri" w:hAnsi="Calibri"/>
          <w:i/>
          <w:iCs/>
          <w:color w:val="5A6B62"/>
          <w:sz w:val="18"/>
          <w:szCs w:val="18"/>
        </w:rPr>
        <w:t xml:space="preserve">Decisión de ruta jurídica con fundamento normativo y motivación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Expediente-list.jpg" descr="Listado de expedientes" title="Listado de expedie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5E46"/>
          <w:sz w:val="18"/>
          <w:szCs w:val="18"/>
        </w:rPr>
        <w:t xml:space="preserve">Figura 60. </w:t>
      </w:r>
      <w:r>
        <w:rPr>
          <w:rFonts w:ascii="Calibri" w:cs="Calibri" w:eastAsia="Calibri" w:hAnsi="Calibri"/>
          <w:i/>
          <w:iCs/>
          <w:color w:val="5A6B62"/>
          <w:sz w:val="18"/>
          <w:szCs w:val="18"/>
        </w:rPr>
        <w:t xml:space="preserve">Listado de expedientes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Expediente-detail.jpg" descr="Detalle del expediente con pasos del proceso policivo" title="Detalle del expediente con pasos del proceso polici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5E46"/>
          <w:sz w:val="18"/>
          <w:szCs w:val="18"/>
        </w:rPr>
        <w:t xml:space="preserve">Figura 61. </w:t>
      </w:r>
      <w:r>
        <w:rPr>
          <w:rFonts w:ascii="Calibri" w:cs="Calibri" w:eastAsia="Calibri" w:hAnsi="Calibri"/>
          <w:i/>
          <w:iCs/>
          <w:color w:val="5A6B62"/>
          <w:sz w:val="18"/>
          <w:szCs w:val="18"/>
        </w:rPr>
        <w:t xml:space="preserve">Detalle del expediente con pasos del proceso policivo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Audiencia-detail.jpg" descr="Audiencia del proceso: participantes, resultado de la diligencia y acta" title="Audiencia del proceso: participantes, resultado de la diligencia y ac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5E46"/>
          <w:sz w:val="18"/>
          <w:szCs w:val="18"/>
        </w:rPr>
        <w:t xml:space="preserve">Figura 62. </w:t>
      </w:r>
      <w:r>
        <w:rPr>
          <w:rFonts w:ascii="Calibri" w:cs="Calibri" w:eastAsia="Calibri" w:hAnsi="Calibri"/>
          <w:i/>
          <w:iCs/>
          <w:color w:val="5A6B62"/>
          <w:sz w:val="18"/>
          <w:szCs w:val="18"/>
        </w:rPr>
        <w:t xml:space="preserve">Audiencia del proceso: participantes, resultado de la diligencia y acta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OrdenPolicia-detail.jpg" descr="Orden de Policía: contenido, cumplimiento y documento" title="Orden de Policía: contenido, cumplimiento y documen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5E46"/>
          <w:sz w:val="18"/>
          <w:szCs w:val="18"/>
        </w:rPr>
        <w:t xml:space="preserve">Figura 63. </w:t>
      </w:r>
      <w:r>
        <w:rPr>
          <w:rFonts w:ascii="Calibri" w:cs="Calibri" w:eastAsia="Calibri" w:hAnsi="Calibri"/>
          <w:i/>
          <w:iCs/>
          <w:color w:val="5A6B62"/>
          <w:sz w:val="18"/>
          <w:szCs w:val="18"/>
        </w:rPr>
        <w:t xml:space="preserve">Orden de Policía: contenido, cumplimiento y documento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MedidaCorrectiva-detail.jpg" descr="Medida correctiva: fundamento, ejecución, verificación y resolución" title="Medida correctiva: fundamento, ejecución, verificación y resolu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5E46"/>
          <w:sz w:val="18"/>
          <w:szCs w:val="18"/>
        </w:rPr>
        <w:t xml:space="preserve">Figura 64. </w:t>
      </w:r>
      <w:r>
        <w:rPr>
          <w:rFonts w:ascii="Calibri" w:cs="Calibri" w:eastAsia="Calibri" w:hAnsi="Calibri"/>
          <w:i/>
          <w:iCs/>
          <w:color w:val="5A6B62"/>
          <w:sz w:val="18"/>
          <w:szCs w:val="18"/>
        </w:rPr>
        <w:t xml:space="preserve">Medida correctiva: fundamento, ejecución, verificación y resolución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NotificacionActo-detail.jpg" descr="Notificación del acto y control de ejecutoria" title="Notificación del acto y control de ejecutor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5E46"/>
          <w:sz w:val="18"/>
          <w:szCs w:val="18"/>
        </w:rPr>
        <w:t xml:space="preserve">Figura 65. </w:t>
      </w:r>
      <w:r>
        <w:rPr>
          <w:rFonts w:ascii="Calibri" w:cs="Calibri" w:eastAsia="Calibri" w:hAnsi="Calibri"/>
          <w:i/>
          <w:iCs/>
          <w:color w:val="5A6B62"/>
          <w:sz w:val="18"/>
          <w:szCs w:val="18"/>
        </w:rPr>
        <w:t xml:space="preserve">Notificación del acto y control de ejecutoria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Recurso-detail.jpg" descr="Recurso y segunda instancia" title="Recurso y segunda instanc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5E46"/>
          <w:sz w:val="18"/>
          <w:szCs w:val="18"/>
        </w:rPr>
        <w:t xml:space="preserve">Figura 66. </w:t>
      </w:r>
      <w:r>
        <w:rPr>
          <w:rFonts w:ascii="Calibri" w:cs="Calibri" w:eastAsia="Calibri" w:hAnsi="Calibri"/>
          <w:i/>
          <w:iCs/>
          <w:color w:val="5A6B62"/>
          <w:sz w:val="18"/>
          <w:szCs w:val="18"/>
        </w:rPr>
        <w:t xml:space="preserve">Recurso y segunda instancia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MovimientoExpediente-detail.jpg" descr="Movimiento y custodia física del expediente" title="Movimiento y custodia física del expedi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5E46"/>
          <w:sz w:val="18"/>
          <w:szCs w:val="18"/>
        </w:rPr>
        <w:t xml:space="preserve">Figura 67. </w:t>
      </w:r>
      <w:r>
        <w:rPr>
          <w:rFonts w:ascii="Calibri" w:cs="Calibri" w:eastAsia="Calibri" w:hAnsi="Calibri"/>
          <w:i/>
          <w:iCs/>
          <w:color w:val="5A6B62"/>
          <w:sz w:val="18"/>
          <w:szCs w:val="18"/>
        </w:rPr>
        <w:t xml:space="preserve">Movimiento y custodia física del expediente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3.7 Policía, RNMC y otras rutas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Se implementaron el Proceso Verbal Inmediato (orden de comparendo y actuación inmediata), el dominio RNMC en ambas direcciones (actuaciones entrantes y reporte saliente), la remisión a otras autoridades con medida preventiva opcional, el permiso de canino de manejo especial, el proceso de maltrato animal y la obligación pecuniaria ante Tesorería.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ActuacionPoliciaInmediata-detail.jpg" descr="Actuación de Policía inmediata (PVI)" title="Actuación de Policía inmediata (PVI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5E46"/>
          <w:sz w:val="18"/>
          <w:szCs w:val="18"/>
        </w:rPr>
        <w:t xml:space="preserve">Figura 68. </w:t>
      </w:r>
      <w:r>
        <w:rPr>
          <w:rFonts w:ascii="Calibri" w:cs="Calibri" w:eastAsia="Calibri" w:hAnsi="Calibri"/>
          <w:i/>
          <w:iCs/>
          <w:color w:val="5A6B62"/>
          <w:sz w:val="18"/>
          <w:szCs w:val="18"/>
        </w:rPr>
        <w:t xml:space="preserve">Actuación de Policía inmediata (PVI)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OrdenComparendo-detail.jpg" descr="Orden de comparendo" title="Orden de comparen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5E46"/>
          <w:sz w:val="18"/>
          <w:szCs w:val="18"/>
        </w:rPr>
        <w:t xml:space="preserve">Figura 69. </w:t>
      </w:r>
      <w:r>
        <w:rPr>
          <w:rFonts w:ascii="Calibri" w:cs="Calibri" w:eastAsia="Calibri" w:hAnsi="Calibri"/>
          <w:i/>
          <w:iCs/>
          <w:color w:val="5A6B62"/>
          <w:sz w:val="18"/>
          <w:szCs w:val="18"/>
        </w:rPr>
        <w:t xml:space="preserve">Orden de comparendo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ActuacionRNMC-detail.jpg" descr="Actuación RNMC entrante: comparendo de origen y clasificación jurídica" title="Actuación RNMC entrante: comparendo de origen y clasificación juríd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5E46"/>
          <w:sz w:val="18"/>
          <w:szCs w:val="18"/>
        </w:rPr>
        <w:t xml:space="preserve">Figura 70. </w:t>
      </w:r>
      <w:r>
        <w:rPr>
          <w:rFonts w:ascii="Calibri" w:cs="Calibri" w:eastAsia="Calibri" w:hAnsi="Calibri"/>
          <w:i/>
          <w:iCs/>
          <w:color w:val="5A6B62"/>
          <w:sz w:val="18"/>
          <w:szCs w:val="18"/>
        </w:rPr>
        <w:t xml:space="preserve">Actuación RNMC entrante: comparendo de origen y clasificación jurídica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ReporteRNMC-detail.jpg" descr="Reporte saliente hacia el RNMC" title="Reporte saliente hacia el RNM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5E46"/>
          <w:sz w:val="18"/>
          <w:szCs w:val="18"/>
        </w:rPr>
        <w:t xml:space="preserve">Figura 71. </w:t>
      </w:r>
      <w:r>
        <w:rPr>
          <w:rFonts w:ascii="Calibri" w:cs="Calibri" w:eastAsia="Calibri" w:hAnsi="Calibri"/>
          <w:i/>
          <w:iCs/>
          <w:color w:val="5A6B62"/>
          <w:sz w:val="18"/>
          <w:szCs w:val="18"/>
        </w:rPr>
        <w:t xml:space="preserve">Reporte saliente hacia el RNMC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RemisionAutoridad-detail.jpg" descr="Remisión a autoridad competente con medida preventiva opcional" title="Remisión a autoridad competente con medida preventiva opcio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5E46"/>
          <w:sz w:val="18"/>
          <w:szCs w:val="18"/>
        </w:rPr>
        <w:t xml:space="preserve">Figura 72. </w:t>
      </w:r>
      <w:r>
        <w:rPr>
          <w:rFonts w:ascii="Calibri" w:cs="Calibri" w:eastAsia="Calibri" w:hAnsi="Calibri"/>
          <w:i/>
          <w:iCs/>
          <w:color w:val="5A6B62"/>
          <w:sz w:val="18"/>
          <w:szCs w:val="18"/>
        </w:rPr>
        <w:t xml:space="preserve">Remisión a autoridad competente con medida preventiva opcional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PermisoCaninoManejoEspecial-detail.jpg" descr="Permiso de canino de manejo especial" title="Permiso de canino de manejo espec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5E46"/>
          <w:sz w:val="18"/>
          <w:szCs w:val="18"/>
        </w:rPr>
        <w:t xml:space="preserve">Figura 73. </w:t>
      </w:r>
      <w:r>
        <w:rPr>
          <w:rFonts w:ascii="Calibri" w:cs="Calibri" w:eastAsia="Calibri" w:hAnsi="Calibri"/>
          <w:i/>
          <w:iCs/>
          <w:color w:val="5A6B62"/>
          <w:sz w:val="18"/>
          <w:szCs w:val="18"/>
        </w:rPr>
        <w:t xml:space="preserve">Permiso de canino de manejo especial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ActuacionMaltratoAnimal-detail.jpg" descr="Actuación por maltrato animal: hechos, aprehensión material preventiva y actuaciones relacionadas" title="Actuación por maltrato animal: hechos, aprehensión material preventiva y actuaciones relacionad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5E46"/>
          <w:sz w:val="18"/>
          <w:szCs w:val="18"/>
        </w:rPr>
        <w:t xml:space="preserve">Figura 74. </w:t>
      </w:r>
      <w:r>
        <w:rPr>
          <w:rFonts w:ascii="Calibri" w:cs="Calibri" w:eastAsia="Calibri" w:hAnsi="Calibri"/>
          <w:i/>
          <w:iCs/>
          <w:color w:val="5A6B62"/>
          <w:sz w:val="18"/>
          <w:szCs w:val="18"/>
        </w:rPr>
        <w:t xml:space="preserve">Actuación por maltrato animal: hechos, aprehensión material preventiva y actuaciones relacionadas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ObligacionPecuniaria-detail.jpg" descr="Obligación pecuniaria remitida a Tesorería" title="Obligación pecuniaria remitida a Tesorerí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5E46"/>
          <w:sz w:val="18"/>
          <w:szCs w:val="18"/>
        </w:rPr>
        <w:t xml:space="preserve">Figura 75. </w:t>
      </w:r>
      <w:r>
        <w:rPr>
          <w:rFonts w:ascii="Calibri" w:cs="Calibri" w:eastAsia="Calibri" w:hAnsi="Calibri"/>
          <w:i/>
          <w:iCs/>
          <w:color w:val="5A6B62"/>
          <w:sz w:val="18"/>
          <w:szCs w:val="18"/>
        </w:rPr>
        <w:t xml:space="preserve">Obligación pecuniaria remitida a Tesorería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3.8 Control de tiempos y alertas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El control de tiempos funciona en dos capas: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Case: </w:t>
      </w:r>
      <w:r>
        <w:rPr>
          <w:rFonts w:ascii="Calibri" w:cs="Calibri" w:eastAsia="Calibri" w:hAnsi="Calibri"/>
          <w:sz w:val="22"/>
          <w:szCs w:val="22"/>
        </w:rPr>
        <w:t xml:space="preserve">fecha límite de respuesta según el régimen y término aplicable, semáforo en el tablero (vencido, próximo a vencer (3 días o menos) y al día) y la tarea diaria «Alertas de vencimiento de casos».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Procesos: </w:t>
      </w:r>
      <w:r>
        <w:rPr>
          <w:rFonts w:ascii="Calibri" w:cs="Calibri" w:eastAsia="Calibri" w:hAnsi="Calibri"/>
          <w:sz w:val="22"/>
          <w:szCs w:val="22"/>
        </w:rPr>
        <w:t xml:space="preserve">entidad AlertaProceso y la tarea diaria «Alertas de vencimiento de procesos (plazos legales)», conectadas a cinco plazos legales: término de recursos y firmeza (NotificacionActo), remisión de apelación del PVI en 24 horas y resolución en 3 días hábiles, objeción de comparendo RNMC en 3 días hábiles y justificación de la primera inasistencia a audiencia.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Según el modelo, las alertas son controles operativos y no disparan consecuencias jurídicas automáticas (por ejemplo, la alerta de Tesorería no inicia cobro coactivo).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AlertaProceso-list.jpg" descr="Alertas de proceso con plazo legal, fecha de vencimiento y estado" title="Alertas de proceso con plazo legal, fecha de vencimiento y est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5E46"/>
          <w:sz w:val="18"/>
          <w:szCs w:val="18"/>
        </w:rPr>
        <w:t xml:space="preserve">Figura 76. </w:t>
      </w:r>
      <w:r>
        <w:rPr>
          <w:rFonts w:ascii="Calibri" w:cs="Calibri" w:eastAsia="Calibri" w:hAnsi="Calibri"/>
          <w:i/>
          <w:iCs/>
          <w:color w:val="5A6B62"/>
          <w:sz w:val="18"/>
          <w:szCs w:val="18"/>
        </w:rPr>
        <w:t xml:space="preserve">Alertas de proceso con plazo legal, fecha de vencimiento y estado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AlertaProceso-detail.jpg" descr="Detalle de una alerta: regla o norma de origen y registro relacionado" title="Detalle de una alerta: regla o norma de origen y registro relacion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5E46"/>
          <w:sz w:val="18"/>
          <w:szCs w:val="18"/>
        </w:rPr>
        <w:t xml:space="preserve">Figura 77. </w:t>
      </w:r>
      <w:r>
        <w:rPr>
          <w:rFonts w:ascii="Calibri" w:cs="Calibri" w:eastAsia="Calibri" w:hAnsi="Calibri"/>
          <w:i/>
          <w:iCs/>
          <w:color w:val="5A6B62"/>
          <w:sz w:val="18"/>
          <w:szCs w:val="18"/>
        </w:rPr>
        <w:t xml:space="preserve">Detalle de una alerta: regla o norma de origen y registro relacionado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3.9 Gestión documental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El sistema genera automáticamente los PDF oficiales (formato de solicitud, acta de visita, actuo de archivo) y los asocia al caso. El módulo Documentos organiza los archivos por categoría con descarga directa. El modelo documental del repositorio ya prevé los metadatos TRD (tipo documental y serie/subserie), pero todavía no están implementados en el CRM.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Document-list.jpg" descr="Módulo Documentos: plantillas y documentos por categoría" title="Módulo Documentos: plantillas y documentos por categorí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5E46"/>
          <w:sz w:val="18"/>
          <w:szCs w:val="18"/>
        </w:rPr>
        <w:t xml:space="preserve">Figura 78. </w:t>
      </w:r>
      <w:r>
        <w:rPr>
          <w:rFonts w:ascii="Calibri" w:cs="Calibri" w:eastAsia="Calibri" w:hAnsi="Calibri"/>
          <w:i/>
          <w:iCs/>
          <w:color w:val="5A6B62"/>
          <w:sz w:val="18"/>
          <w:szCs w:val="18"/>
        </w:rPr>
        <w:t xml:space="preserve">Módulo Documentos: plantillas y documentos por categoría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Document-detail.jpg" descr="Detalle de un documento con archivo adjunto" title="Detalle de un documento con archivo adjun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5E46"/>
          <w:sz w:val="18"/>
          <w:szCs w:val="18"/>
        </w:rPr>
        <w:t xml:space="preserve">Figura 79. </w:t>
      </w:r>
      <w:r>
        <w:rPr>
          <w:rFonts w:ascii="Calibri" w:cs="Calibri" w:eastAsia="Calibri" w:hAnsi="Calibri"/>
          <w:i/>
          <w:iCs/>
          <w:color w:val="5A6B62"/>
          <w:sz w:val="18"/>
          <w:szCs w:val="18"/>
        </w:rPr>
        <w:t xml:space="preserve">Detalle de un documento con archivo adjunto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3.10 Plan de implementación y estado por fase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5460"/>
      </w:tblGrid>
      <w:tr>
        <w:trPr>
          <w:tblHeader/>
        </w:trPr>
        <w:tc>
          <w:tcPr>
            <w:tcW w:type="dxa" w:w="24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shd w:fill="1F5E4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15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shd w:fill="1F5E4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546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shd w:fill="1F5E4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Alcance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8"/>
                <w:szCs w:val="18"/>
              </w:rPr>
              <w:t xml:space="preserve">Fase 0 · Higiene técnica</w:t>
            </w:r>
          </w:p>
        </w:tc>
        <w:tc>
          <w:tcPr>
            <w:tcW w:type="dxa" w:w="15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8"/>
                <w:szCs w:val="18"/>
              </w:rPr>
              <w:t xml:space="preserve">Hecho</w:t>
            </w:r>
          </w:p>
        </w:tc>
        <w:tc>
          <w:tcPr>
            <w:tcW w:type="dxa" w:w="546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8"/>
                <w:szCs w:val="18"/>
              </w:rPr>
              <w:t xml:space="preserve">Unificación de hooks duplicados del Case.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8"/>
                <w:szCs w:val="18"/>
              </w:rPr>
              <w:t xml:space="preserve">Fase 1 · Núcleo</w:t>
            </w:r>
          </w:p>
        </w:tc>
        <w:tc>
          <w:tcPr>
            <w:tcW w:type="dxa" w:w="15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8"/>
                <w:szCs w:val="18"/>
              </w:rPr>
              <w:t xml:space="preserve">Hecho (local)</w:t>
            </w:r>
          </w:p>
        </w:tc>
        <w:tc>
          <w:tcPr>
            <w:tcW w:type="dxa" w:w="546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8"/>
                <w:szCs w:val="18"/>
              </w:rPr>
              <w:t xml:space="preserve">GestionTecnica, DecisionRutaJuridica, Destino, RelacionCasos; Case.status simplificado (10 → 8); roles y usuarios alineados a la matriz del modelo.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8"/>
                <w:szCs w:val="18"/>
              </w:rPr>
              <w:t xml:space="preserve">Fase 2 · Rutas jurídicas</w:t>
            </w:r>
          </w:p>
        </w:tc>
        <w:tc>
          <w:tcPr>
            <w:tcW w:type="dxa" w:w="15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8"/>
                <w:szCs w:val="18"/>
              </w:rPr>
              <w:t xml:space="preserve">Hecho (local)</w:t>
            </w:r>
          </w:p>
        </w:tc>
        <w:tc>
          <w:tcPr>
            <w:tcW w:type="dxa" w:w="546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8"/>
                <w:szCs w:val="18"/>
              </w:rPr>
              <w:t xml:space="preserve">Recursos Naturales, Ambiental Preventiva, PVA completo con sus 6 N3, Maltrato/Convivencia Animal y Canino.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8"/>
                <w:szCs w:val="18"/>
              </w:rPr>
              <w:t xml:space="preserve">Fase 2b · Inventario BPMN</w:t>
            </w:r>
          </w:p>
        </w:tc>
        <w:tc>
          <w:tcPr>
            <w:tcW w:type="dxa" w:w="15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8"/>
                <w:szCs w:val="18"/>
              </w:rPr>
              <w:t xml:space="preserve">Hecho 29/29</w:t>
            </w:r>
          </w:p>
        </w:tc>
        <w:tc>
          <w:tcPr>
            <w:tcW w:type="dxa" w:w="546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8"/>
                <w:szCs w:val="18"/>
              </w:rPr>
              <w:t xml:space="preserve">Gestión técnica (bloque 2), PVI (bloque 3), Tesorería (bloque 4), RNMC entrante (bloque 5) y ReporteRNMC.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8"/>
                <w:szCs w:val="18"/>
              </w:rPr>
              <w:t xml:space="preserve">Menú por rol</w:t>
            </w:r>
          </w:p>
        </w:tc>
        <w:tc>
          <w:tcPr>
            <w:tcW w:type="dxa" w:w="15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8"/>
                <w:szCs w:val="18"/>
              </w:rPr>
              <w:t xml:space="preserve">En curso</w:t>
            </w:r>
          </w:p>
        </w:tc>
        <w:tc>
          <w:tcPr>
            <w:tcW w:type="dxa" w:w="546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8"/>
                <w:szCs w:val="18"/>
              </w:rPr>
              <w:t xml:space="preserve">Pasos 1 y 2 hechos (grupos por proceso y visibilidad por ACL); falta el paso 3 (vistas preseleccionadas por estado y responsable).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8"/>
                <w:szCs w:val="18"/>
              </w:rPr>
              <w:t xml:space="preserve">Notificaciones por plazos</w:t>
            </w:r>
          </w:p>
        </w:tc>
        <w:tc>
          <w:tcPr>
            <w:tcW w:type="dxa" w:w="15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8"/>
                <w:szCs w:val="18"/>
              </w:rPr>
              <w:t xml:space="preserve">En curso</w:t>
            </w:r>
          </w:p>
        </w:tc>
        <w:tc>
          <w:tcPr>
            <w:tcW w:type="dxa" w:w="546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8"/>
                <w:szCs w:val="18"/>
              </w:rPr>
              <w:t xml:space="preserve">AlertaProceso con 5 plazos legales; faltan brechas de impacto medio y bajo (remisión a autoridad, permiso canino, programación de visita, coordinación técnica).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8"/>
                <w:szCs w:val="18"/>
              </w:rPr>
              <w:t xml:space="preserve">Fase 3 · Cierre formal</w:t>
            </w:r>
          </w:p>
        </w:tc>
        <w:tc>
          <w:tcPr>
            <w:tcW w:type="dxa" w:w="15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8"/>
                <w:szCs w:val="18"/>
              </w:rPr>
              <w:t xml:space="preserve">No iniciada</w:t>
            </w:r>
          </w:p>
        </w:tc>
        <w:tc>
          <w:tcPr>
            <w:tcW w:type="dxa" w:w="546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8"/>
                <w:szCs w:val="18"/>
              </w:rPr>
              <w:t xml:space="preserve">CierreExpediente con checklist de pendientes (medidas, recursos, notificaciones).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8"/>
                <w:szCs w:val="18"/>
              </w:rPr>
              <w:t xml:space="preserve">Despliegue a producción</w:t>
            </w:r>
          </w:p>
        </w:tc>
        <w:tc>
          <w:tcPr>
            <w:tcW w:type="dxa" w:w="15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8"/>
                <w:szCs w:val="18"/>
              </w:rPr>
              <w:t xml:space="preserve">Pendiente</w:t>
            </w:r>
          </w:p>
        </w:tc>
        <w:tc>
          <w:tcPr>
            <w:tcW w:type="dxa" w:w="546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8"/>
                <w:szCs w:val="18"/>
              </w:rPr>
              <w:t xml:space="preserve">Las fases 0 a 2 están validadas en Docker local; falta la migración de estados y el despliegue en Dokploy.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3.11 Puntos pendientes de validación institucional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Según el modelo, estos puntos no deben fijarse en el código hasta recibir o validar los documentos oficiales: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ALIB/ALIBC vigente; Formato 07 del trámite de canino de manejo especial; formatos actualizados de citación y de notificación personal.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Oficio a la autoridad ambiental / Resolución 104; declaratoria de ejecutoria y pago; formato de cobro.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Integraciones con Survey, DÉBORA y RNMC; serie/subserie documental para los Cases sin expediente; significado institucional de FILMA.</w:t>
      </w:r>
    </w:p>
    <w:p>
      <w:pPr>
        <w:sectPr>
          <w:footerReference w:type="default" r:id="rId9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/>
      </w:pPr>
      <w:r>
        <w:rPr>
          <w:rFonts w:ascii="Calibri" w:cs="Calibri" w:eastAsia="Calibri" w:hAnsi="Calibri"/>
        </w:rPr>
        <w:t xml:space="preserve">4. Resumen de avance por actividad contractual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La tabla resume el estado de cada actividad contractual, lo que falta para completarla y la evidencia que la soporta. Los números de figura remiten a las capturas de este informe.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400"/>
        <w:gridCol w:w="3900"/>
        <w:gridCol w:w="2680"/>
      </w:tblGrid>
      <w:tr>
        <w:trPr>
          <w:tblHeader/>
        </w:trPr>
        <w:tc>
          <w:tcPr>
            <w:tcW w:type="dxa" w:w="27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shd w:fill="1F5E4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Actividad contractual</w:t>
            </w:r>
          </w:p>
        </w:tc>
        <w:tc>
          <w:tcPr>
            <w:tcW w:type="dxa" w:w="44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shd w:fill="1F5E4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Avance y evidencia descriptiva</w:t>
            </w:r>
          </w:p>
        </w:tc>
        <w:tc>
          <w:tcPr>
            <w:tcW w:type="dxa" w:w="39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shd w:fill="1F5E4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Qué falta para completar</w:t>
            </w:r>
          </w:p>
        </w:tc>
        <w:tc>
          <w:tcPr>
            <w:tcW w:type="dxa" w:w="268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shd w:fill="1F5E4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Evidencia / figura a adjuntar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Levantamiento de Requerimientos: realizar sesiones de diagnóstico con las áreas ambientales para definir las variables de registro y seguimiento.</w:t>
            </w:r>
          </w:p>
        </w:tc>
        <w:tc>
          <w:tcPr>
            <w:tcW w:type="dxa" w:w="44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29 BPMN activos (N0–N3) modelados a partir de IV-P-004, IV-P-021, IV-P-028, la normativa vigente y la reunión del 08-09-2026, cuyos ajustes quedaron consolidados. Variables y flujo definidos en las matrices de roles, formatos, términos, tiempos y medidas (Figs. 1–38).</w:t>
            </w:r>
          </w:p>
        </w:tc>
        <w:tc>
          <w:tcPr>
            <w:tcW w:type="dxa" w:w="39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Acta o minuta formal de las sesiones de diagnóstico con las áreas ambientales y validación institucional de los puntos POR VALIDAR (ALIB/ALIBC, Formato 07, FILMA, DÉBORA).</w:t>
            </w:r>
          </w:p>
        </w:tc>
        <w:tc>
          <w:tcPr>
            <w:tcW w:type="dxa" w:w="268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Acta/minuta de sesiones de diagnóstico; acta del 08-09-2026; Figs. 1–29 (BPMN) y 30–38 (visor).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Diseño de Arquitectura: estructurar una base de datos que permita la trazabilidad completa (quién hizo qué y cuándo) de cada actuación administrativa.</w:t>
            </w:r>
          </w:p>
        </w:tc>
        <w:tc>
          <w:tcPr>
            <w:tcW w:type="dxa" w:w="44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Modelo de dominio v2.0 con 37 entidades y 41 relaciones, publicado en el visor. 43 entidades configuradas en el CRM. Trazabilidad con historia (stream), línea de tiempo, historial de asignaciones y datos de creación y modificación por registro.</w:t>
            </w:r>
          </w:p>
        </w:tc>
        <w:tc>
          <w:tcPr>
            <w:tcW w:type="dxa" w:w="39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Diagrama entidad-relación formal exportable como entregable y política de auditoría escrita (qué se audita, retención y quién consulta).</w:t>
            </w:r>
          </w:p>
        </w:tc>
        <w:tc>
          <w:tcPr>
            <w:tcW w:type="dxa" w:w="268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Diagrama ER/arquitectura; Fig. 36 (Modelo de datos); Figs. 49–51 (trazabilidad del caso: historia, línea de tiempo, cronograma).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Desarrollo del Módulo de Tiempos: configurar un sistema de alertas y semaforización para el control de términos legales y tiempos de gestión interna.</w:t>
            </w:r>
          </w:p>
        </w:tc>
        <w:tc>
          <w:tcPr>
            <w:tcW w:type="dxa" w:w="44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Semáforo, fecha de vencimiento y tarea diaria de alertas del Case operativos. Matriz de 31 relojes por proceso y tipo de trámite en el visor. AlertaProceso con 5 plazos legales y una segunda tarea diaria.</w:t>
            </w:r>
          </w:p>
        </w:tc>
        <w:tc>
          <w:tcPr>
            <w:tcW w:type="dxa" w:w="39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Aplicar en el CRM las reglas diferenciadas por tipo de trámite y estado para los plazos restantes (remisión a autoridad, permiso canino, programación de visita, gestión técnica) y validar los relojes POR VALIDAR.</w:t>
            </w:r>
          </w:p>
        </w:tc>
        <w:tc>
          <w:tcPr>
            <w:tcW w:type="dxa" w:w="268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Fig. 44 (tablero con semáforo); Figs. 76–77 (alertas de proceso); Fig. 34 (Tiempos).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Gestión Documental: garantizar la organización, indexación y almacenamiento de archivos según las tablas de retención documental (TRD) de la entidad.</w:t>
            </w:r>
          </w:p>
        </w:tc>
        <w:tc>
          <w:tcPr>
            <w:tcW w:type="dxa" w:w="44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PDF automáticos y módulo Documentos operativos, con categorías y descarga. Matriz de 32 formatos y soportes con etapa y carga al CRM. El modelo documental prevé los metadatos TRD y la TRD de la Inspección de Policía Ambiental ya fue recibida.</w:t>
            </w:r>
          </w:p>
        </w:tc>
        <w:tc>
          <w:tcPr>
            <w:tcW w:type="dxa" w:w="39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Implementación explícita conforme a la TRD: campos de serie, subserie y tipo documental en documentos y expedientes; serie para Cases sin expediente; índice documental; validación con Gestión Documental.</w:t>
            </w:r>
          </w:p>
        </w:tc>
        <w:tc>
          <w:tcPr>
            <w:tcW w:type="dxa" w:w="268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Figs. 78–79 (Documentos); Fig. 54 (acta con PDF); Fig. 32 (Formatos); TRD de referencia.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Interoperabilidad: asegurar que la herramienta pueda conectarse (o no genere conflictos) con los sistemas existentes de la institución, cuando aplique y se permita.</w:t>
            </w:r>
          </w:p>
        </w:tc>
        <w:tc>
          <w:tcPr>
            <w:tcW w:type="dxa" w:w="44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Exportación y sincronización con el Excel de la Alcaldía. RNMC modelado en ambas direcciones (ActuacionRNMC y ReporteRNMC) sin automatizar. Radicado de DÉBORA registrado manualmente en el Case.</w:t>
            </w:r>
          </w:p>
        </w:tc>
        <w:tc>
          <w:tcPr>
            <w:tcW w:type="dxa" w:w="39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Mapa formal de integraciones, restricciones y responsables; confirmación del mecanismo con RNMC, DÉBORA y Survey; acta de no conflicto validada con TI institucional.</w:t>
            </w:r>
          </w:p>
        </w:tc>
        <w:tc>
          <w:tcPr>
            <w:tcW w:type="dxa" w:w="268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Mapa de integraciones; acta con TI; Fig. 38 (RNMC); Figs. 70–71 (RNMC en el CRM).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Pruebas de Usuario (UAT): realizar pruebas piloto con funcionarios para ajustar la usabilidad antes del lanzamiento oficial.</w:t>
            </w:r>
          </w:p>
        </w:tc>
        <w:tc>
          <w:tcPr>
            <w:tcW w:type="dxa" w:w="44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Datos de prueba en todas las entidades (capturas de la sección 3) y 14 usuarios de prueba, uno por rol del modelo. Ajustes iterativos de usabilidad en pantallas, bandejas y menú por rol.</w:t>
            </w:r>
          </w:p>
        </w:tc>
        <w:tc>
          <w:tcPr>
            <w:tcW w:type="dxa" w:w="39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Sesión UAT formal con funcionarios, casos de prueba escritos, matriz de hallazgos y cierre de errores críticos; despliegue previo en producción.</w:t>
            </w:r>
          </w:p>
        </w:tc>
        <w:tc>
          <w:tcPr>
            <w:tcW w:type="dxa" w:w="268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Acta UAT, casos de prueba, matriz de hallazgos y evidencias de cierre; Figs. 39–42 (usuarios por rol).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Capacitación: brindar talleres de formación y entregar manuales.</w:t>
            </w:r>
          </w:p>
        </w:tc>
        <w:tc>
          <w:tcPr>
            <w:tcW w:type="dxa" w:w="44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Manual de usuario del CRM (MD y PDF), guía de entrega técnica (handoff) y visor BPMN como material de consulta del procedimiento.</w:t>
            </w:r>
          </w:p>
        </w:tc>
        <w:tc>
          <w:tcPr>
            <w:tcW w:type="dxa" w:w="390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Realizar los talleres con listas de asistencia; actualizar el manual con las entidades de las fases 1 y 2; documentar la evaluación funcional.</w:t>
            </w:r>
          </w:p>
        </w:tc>
        <w:tc>
          <w:tcPr>
            <w:tcW w:type="dxa" w:w="2680"/>
            <w:tcBorders>
              <w:top w:val="single" w:color="B7C8BE" w:sz="4"/>
              <w:left w:val="single" w:color="B7C8BE" w:sz="4"/>
              <w:bottom w:val="single" w:color="B7C8BE" w:sz="4"/>
              <w:right w:val="single" w:color="B7C8B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2B24"/>
                <w:sz w:val="17"/>
                <w:szCs w:val="17"/>
              </w:rPr>
              <w:t xml:space="preserve">Listas de asistencia, manual actualizado y evidencia de evaluación.</w:t>
            </w:r>
          </w:p>
        </w:tc>
      </w:tr>
    </w:tbl>
    <w:sectPr>
      <w:footerReference w:type="default" r:id="rId10"/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A6B62"/>
        <w:sz w:val="16"/>
        <w:szCs w:val="16"/>
      </w:rPr>
      <w:t xml:space="preserve">Informe ejecutivo de avances · CRM Inspección Ambiental · Página </w:t>
    </w:r>
    <w:r>
      <w:rPr>
        <w:rFonts w:ascii="Calibri" w:cs="Calibri" w:eastAsia="Calibri" w:hAnsi="Calibri"/>
        <w:color w:val="5A6B6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A6B62"/>
        <w:sz w:val="16"/>
        <w:szCs w:val="16"/>
      </w:rPr>
      <w:t xml:space="preserve">Informe ejecutivo de avances · CRM Inspección Ambiental · Página </w:t>
    </w:r>
    <w:r>
      <w:rPr>
        <w:rFonts w:ascii="Calibri" w:cs="Calibri" w:eastAsia="Calibri" w:hAnsi="Calibri"/>
        <w:color w:val="5A6B6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A6B62"/>
        <w:sz w:val="16"/>
        <w:szCs w:val="16"/>
      </w:rPr>
      <w:t xml:space="preserve">Informe ejecutivo de avances · CRM Inspección Ambiental · Página </w:t>
    </w:r>
    <w:r>
      <w:rPr>
        <w:rFonts w:ascii="Calibri" w:cs="Calibri" w:eastAsia="Calibri" w:hAnsi="Calibri"/>
        <w:color w:val="5A6B6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A6B62"/>
        <w:sz w:val="16"/>
        <w:szCs w:val="16"/>
      </w:rPr>
      <w:t xml:space="preserve">Informe ejecutivo de avances · CRM Inspección Ambiental · Página </w:t>
    </w:r>
    <w:r>
      <w:rPr>
        <w:rFonts w:ascii="Calibri" w:cs="Calibri" w:eastAsia="Calibri" w:hAnsi="Calibri"/>
        <w:color w:val="5A6B6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Calibri" w:cs="Calibri" w:eastAsia="Calibri" w:hAnsi="Calibri"/>
      <w:b/>
      <w:bCs/>
      <w:color w:val="12372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F5E46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2E4A3D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image" Target="media/c129e8695730eb96b92f268b1656db9939fc661d.jpg"/><Relationship Id="rId12" Type="http://schemas.openxmlformats.org/officeDocument/2006/relationships/image" Target="media/b3a1bdf56deb12255b33d3956137fda127284e90.jpg"/><Relationship Id="rId13" Type="http://schemas.openxmlformats.org/officeDocument/2006/relationships/image" Target="media/23070aa875908cdeda0a9e5de13105b6741c084f.jpg"/><Relationship Id="rId14" Type="http://schemas.openxmlformats.org/officeDocument/2006/relationships/image" Target="media/8847cfa58b61ea0c267cd5121e15f1be9d049c39.jpg"/><Relationship Id="rId15" Type="http://schemas.openxmlformats.org/officeDocument/2006/relationships/image" Target="media/104b6dbd8639c9577adfa93284221b2e9fabe31f.jpg"/><Relationship Id="rId16" Type="http://schemas.openxmlformats.org/officeDocument/2006/relationships/image" Target="media/c14ebf4141a94a66c56bc360d3ee8c81a150ee1b.jpg"/><Relationship Id="rId17" Type="http://schemas.openxmlformats.org/officeDocument/2006/relationships/image" Target="media/c12271971761166da2c9ddeb1f741bef4e18311b.jpg"/><Relationship Id="rId18" Type="http://schemas.openxmlformats.org/officeDocument/2006/relationships/image" Target="media/6ebcf8d4d5be909fc6b1bb7898683d3e2fe7a935.jpg"/><Relationship Id="rId19" Type="http://schemas.openxmlformats.org/officeDocument/2006/relationships/image" Target="media/68b3918ba2292de45a1845088270367b6b09fefd.jpg"/><Relationship Id="rId20" Type="http://schemas.openxmlformats.org/officeDocument/2006/relationships/image" Target="media/1ab55fbbe635957dbde835afee9d69ec89f60109.jpg"/><Relationship Id="rId21" Type="http://schemas.openxmlformats.org/officeDocument/2006/relationships/image" Target="media/0320b41d1ec90a33ce5f2ef15dd34ab1306b14f9.jpg"/><Relationship Id="rId22" Type="http://schemas.openxmlformats.org/officeDocument/2006/relationships/image" Target="media/b586ba6e29c9cb2c7b149231514fc9eea5b0269f.jpg"/><Relationship Id="rId23" Type="http://schemas.openxmlformats.org/officeDocument/2006/relationships/image" Target="media/a6a4eaf2924d6ffe426c2bdbacabe64686de3d1d.jpg"/><Relationship Id="rId24" Type="http://schemas.openxmlformats.org/officeDocument/2006/relationships/image" Target="media/05e30f232f44d3454d0a8fb6782952441b8c9dd3.jpg"/><Relationship Id="rId25" Type="http://schemas.openxmlformats.org/officeDocument/2006/relationships/image" Target="media/9a6c50ce3cd2d42bfbdabbeafcd3c3ae2e6c2d9b.jpg"/><Relationship Id="rId26" Type="http://schemas.openxmlformats.org/officeDocument/2006/relationships/image" Target="media/d32a267d7992994e860c1d8370005d888f37c328.jpg"/><Relationship Id="rId27" Type="http://schemas.openxmlformats.org/officeDocument/2006/relationships/image" Target="media/8cef0e9f41dbd00d3134456ca92e7313096202f1.jpg"/><Relationship Id="rId28" Type="http://schemas.openxmlformats.org/officeDocument/2006/relationships/image" Target="media/d0468ed814e6fc001b0b3a1fa2eeb496e8e6d1d0.jpg"/><Relationship Id="rId29" Type="http://schemas.openxmlformats.org/officeDocument/2006/relationships/image" Target="media/f5c9fcd2540c4736d35092f0f1d6d1b659abab92.jpg"/><Relationship Id="rId30" Type="http://schemas.openxmlformats.org/officeDocument/2006/relationships/image" Target="media/4d303d4ad09944181e53e813ea8e8ae8c76e111d.jpg"/><Relationship Id="rId31" Type="http://schemas.openxmlformats.org/officeDocument/2006/relationships/image" Target="media/7d6701d2f45696366a65671adea4494e71eb4320.jpg"/><Relationship Id="rId32" Type="http://schemas.openxmlformats.org/officeDocument/2006/relationships/image" Target="media/d4e797119c34cb0c748688733bb45c6a7a4d5fae.jpg"/><Relationship Id="rId33" Type="http://schemas.openxmlformats.org/officeDocument/2006/relationships/image" Target="media/5657ed9559dfc5c4c7f5246223c80ae127a1fb3c.jpg"/><Relationship Id="rId34" Type="http://schemas.openxmlformats.org/officeDocument/2006/relationships/image" Target="media/5bfda35a9b0022577c46084e70cfcae283443c38.jpg"/><Relationship Id="rId35" Type="http://schemas.openxmlformats.org/officeDocument/2006/relationships/image" Target="media/a731903fcbba859d0ab3cfdab4d8a26b6ca8a961.jpg"/><Relationship Id="rId36" Type="http://schemas.openxmlformats.org/officeDocument/2006/relationships/image" Target="media/2b7cf44c391a69fab0eed1936b8145b0d5ef3522.jpg"/><Relationship Id="rId37" Type="http://schemas.openxmlformats.org/officeDocument/2006/relationships/image" Target="media/09018bc026bc00c05677284f233d6fcfc9cdc75e.jpg"/><Relationship Id="rId38" Type="http://schemas.openxmlformats.org/officeDocument/2006/relationships/image" Target="media/050c89c35d99a8698cb41de7228baf200865b80e.jpg"/><Relationship Id="rId39" Type="http://schemas.openxmlformats.org/officeDocument/2006/relationships/image" Target="media/a6ed03d13793c15e40efb0b3c10d9adb6f12ae89.jpg"/><Relationship Id="rId40" Type="http://schemas.openxmlformats.org/officeDocument/2006/relationships/image" Target="media/4cf6dbb4dd0ec8b48eaa19b80edaaadc3b698f09.jpg"/><Relationship Id="rId41" Type="http://schemas.openxmlformats.org/officeDocument/2006/relationships/image" Target="media/cb68d965cf41706e1cf212d1d5e57368ed96c0f0.jpg"/><Relationship Id="rId42" Type="http://schemas.openxmlformats.org/officeDocument/2006/relationships/image" Target="media/64a87cba0d2419482de7ac5f74c1c9edaad22398.jpg"/><Relationship Id="rId43" Type="http://schemas.openxmlformats.org/officeDocument/2006/relationships/image" Target="media/722a40510c0fa8980afeff33840616de93a9afca.jpg"/><Relationship Id="rId44" Type="http://schemas.openxmlformats.org/officeDocument/2006/relationships/image" Target="media/f48e5cfa246805bc80ec545935a85791539401ad.jpg"/><Relationship Id="rId45" Type="http://schemas.openxmlformats.org/officeDocument/2006/relationships/image" Target="media/8e0f7855dc47dd6f87abc1ce30f635ea5e993cdd.jpg"/><Relationship Id="rId46" Type="http://schemas.openxmlformats.org/officeDocument/2006/relationships/image" Target="media/71af46a9ade12011aca413796fe1d18b5e32daf2.jpg"/><Relationship Id="rId47" Type="http://schemas.openxmlformats.org/officeDocument/2006/relationships/image" Target="media/192aac5279c9037644bbde621134b9af69d69957.jpg"/><Relationship Id="rId48" Type="http://schemas.openxmlformats.org/officeDocument/2006/relationships/image" Target="media/7b08ef24bba93b233482dbdca8667208a40726cf.jpg"/><Relationship Id="rId49" Type="http://schemas.openxmlformats.org/officeDocument/2006/relationships/image" Target="media/030914530da9d3fce7cb4d7714404da4397f640b.jpg"/><Relationship Id="rId50" Type="http://schemas.openxmlformats.org/officeDocument/2006/relationships/image" Target="media/a08ffaf91fc47d303470c12305e73d595cb21dd2.jpg"/><Relationship Id="rId51" Type="http://schemas.openxmlformats.org/officeDocument/2006/relationships/image" Target="media/99df2c3179537a9db9af5ef934016d341677a619.jpg"/><Relationship Id="rId52" Type="http://schemas.openxmlformats.org/officeDocument/2006/relationships/image" Target="media/b53ed03c431c86b73cf2c824a9499fdf54fb65bd.jpg"/><Relationship Id="rId53" Type="http://schemas.openxmlformats.org/officeDocument/2006/relationships/image" Target="media/9451a752de93c7b5e4062209d9381bbee4f4e2e9.jpg"/><Relationship Id="rId54" Type="http://schemas.openxmlformats.org/officeDocument/2006/relationships/image" Target="media/ae2abed902133abb0dfc207bd2d5ff49bd583c60.jpg"/><Relationship Id="rId55" Type="http://schemas.openxmlformats.org/officeDocument/2006/relationships/image" Target="media/fd82d5d7aeac7e1a23b7cecbf1944e050bfbb679.jpg"/><Relationship Id="rId56" Type="http://schemas.openxmlformats.org/officeDocument/2006/relationships/image" Target="media/97e1f469172adf845193d06ef821d84da5fd79da.jpg"/><Relationship Id="rId57" Type="http://schemas.openxmlformats.org/officeDocument/2006/relationships/image" Target="media/c2a1d2e73376039c6312c9a584ea5bacfe048b27.jpg"/><Relationship Id="rId58" Type="http://schemas.openxmlformats.org/officeDocument/2006/relationships/image" Target="media/d31f497f172404b35910967d30d7286b5c77b5b9.jpg"/><Relationship Id="rId59" Type="http://schemas.openxmlformats.org/officeDocument/2006/relationships/image" Target="media/a03c92c2221177840313fa153df505ab06528355.jpg"/><Relationship Id="rId60" Type="http://schemas.openxmlformats.org/officeDocument/2006/relationships/image" Target="media/076bad545796f3820fd4a050f84c654a08a1a743.jpg"/><Relationship Id="rId61" Type="http://schemas.openxmlformats.org/officeDocument/2006/relationships/image" Target="media/fa230c49b705d3e1fd83b0904fc23a3187142c1f.jpg"/><Relationship Id="rId62" Type="http://schemas.openxmlformats.org/officeDocument/2006/relationships/image" Target="media/2615d98873bdd9b027d79706b08095a0b882946c.jpg"/><Relationship Id="rId63" Type="http://schemas.openxmlformats.org/officeDocument/2006/relationships/image" Target="media/6c159e0082251b6804dc40f808a5718a296c52cc.jpg"/><Relationship Id="rId64" Type="http://schemas.openxmlformats.org/officeDocument/2006/relationships/image" Target="media/dd83c6ac6a1ee88b32cef03faeefd8ca26d51c8b.jpg"/><Relationship Id="rId65" Type="http://schemas.openxmlformats.org/officeDocument/2006/relationships/image" Target="media/dbcad1ace5ce5805cd1dbaed18b3e68ea085131e.jpg"/><Relationship Id="rId66" Type="http://schemas.openxmlformats.org/officeDocument/2006/relationships/image" Target="media/87ff67d3fc353e2440e85aa8b149bb5d8bf55805.jpg"/><Relationship Id="rId67" Type="http://schemas.openxmlformats.org/officeDocument/2006/relationships/image" Target="media/4baa00d524b2891d5d4dc3a9fa954ffa3a317365.jpg"/><Relationship Id="rId68" Type="http://schemas.openxmlformats.org/officeDocument/2006/relationships/image" Target="media/29542ad3fee0d2c4b901849a1ed24328ff977596.jpg"/><Relationship Id="rId69" Type="http://schemas.openxmlformats.org/officeDocument/2006/relationships/image" Target="media/e97187c2490b49cac74413360f1551059604cfe2.jpg"/><Relationship Id="rId70" Type="http://schemas.openxmlformats.org/officeDocument/2006/relationships/image" Target="media/4d0f937e6c0dadc92f6ad289f18a438096b9b15b.jpg"/><Relationship Id="rId71" Type="http://schemas.openxmlformats.org/officeDocument/2006/relationships/image" Target="media/80f5125598a0e2347a81fe20708feec32d39d560.jpg"/><Relationship Id="rId72" Type="http://schemas.openxmlformats.org/officeDocument/2006/relationships/image" Target="media/d35e029fa10bb4bc9a4e508f6291d3fe4a0d877e.jpg"/><Relationship Id="rId73" Type="http://schemas.openxmlformats.org/officeDocument/2006/relationships/image" Target="media/917b6bfc668005589fb4138f9052390b73cd4216.jpg"/><Relationship Id="rId74" Type="http://schemas.openxmlformats.org/officeDocument/2006/relationships/image" Target="media/537dd134cb4dfad37122d98cbad036aece0740f8.jpg"/><Relationship Id="rId75" Type="http://schemas.openxmlformats.org/officeDocument/2006/relationships/image" Target="media/50ddc7691c3e87c987b6906a18ac4fc0a6c33464.jpg"/><Relationship Id="rId76" Type="http://schemas.openxmlformats.org/officeDocument/2006/relationships/image" Target="media/30fc091051efb6fde4efc8fb007cfd8a38dd2a41.jpg"/><Relationship Id="rId77" Type="http://schemas.openxmlformats.org/officeDocument/2006/relationships/image" Target="media/8648cb292bf1c983cb77a61609849708f35e4ac7.jpg"/><Relationship Id="rId78" Type="http://schemas.openxmlformats.org/officeDocument/2006/relationships/image" Target="media/ffd137a37e59267cfcb23f9fb3a6cd2b42e96f3b.jpg"/><Relationship Id="rId79" Type="http://schemas.openxmlformats.org/officeDocument/2006/relationships/image" Target="media/e1f2c3e69d628a8ed038aa32b81181206531b10c.jpg"/><Relationship Id="rId80" Type="http://schemas.openxmlformats.org/officeDocument/2006/relationships/image" Target="media/d3d004d09e48b6be89c1439eeec1be5d0f22aaae.jpg"/><Relationship Id="rId81" Type="http://schemas.openxmlformats.org/officeDocument/2006/relationships/image" Target="media/14444c042f67139822e44909c27e38f2e4d9cc6d.jpg"/><Relationship Id="rId82" Type="http://schemas.openxmlformats.org/officeDocument/2006/relationships/image" Target="media/957a91248389eede04857678db306db944385e23.jpg"/><Relationship Id="rId83" Type="http://schemas.openxmlformats.org/officeDocument/2006/relationships/image" Target="media/ef286550311e5c8a593876c54667746920fa55cf.jpg"/><Relationship Id="rId84" Type="http://schemas.openxmlformats.org/officeDocument/2006/relationships/image" Target="media/a3a3e7b8b10bc45f172e2c386fc677f8ed3f4fc1.jpg"/><Relationship Id="rId85" Type="http://schemas.openxmlformats.org/officeDocument/2006/relationships/image" Target="media/b7d6945ee3e8feb6d559a05571d09465642e500b.jpg"/><Relationship Id="rId86" Type="http://schemas.openxmlformats.org/officeDocument/2006/relationships/image" Target="media/782d508ac17ac836061fdb00ffed8eafed2e5881.jpg"/><Relationship Id="rId87" Type="http://schemas.openxmlformats.org/officeDocument/2006/relationships/image" Target="media/c3431e62a363d70d91a1aca3071ce893f1aa1c34.jpg"/><Relationship Id="rId88" Type="http://schemas.openxmlformats.org/officeDocument/2006/relationships/image" Target="media/1efc3097676657c386c0948e4bb3e625f482427c.jpg"/><Relationship Id="rId89" Type="http://schemas.openxmlformats.org/officeDocument/2006/relationships/image" Target="media/9138085f85d5d42c27fb6e1c9d9e3c38cc59e567.jpg"/><Relationship Id="rId9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ejecutivo de avances · CRM Inspección Ambiental</dc:title>
  <dc:creator>Geotrends</dc:creator>
  <cp:lastModifiedBy>Un-named</cp:lastModifiedBy>
  <cp:revision>1</cp:revision>
  <dcterms:created xsi:type="dcterms:W3CDTF">2026-09-23T19:31:48.178Z</dcterms:created>
  <dcterms:modified xsi:type="dcterms:W3CDTF">2026-09-23T19:31:48.183Z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