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B1E3" w14:textId="2F335E8E" w:rsidR="00A8054B" w:rsidRDefault="00A8054B">
      <w:r>
        <w:t>Iconos</w:t>
      </w:r>
    </w:p>
    <w:p w14:paraId="53ACEA5D" w14:textId="4BE1FDF9" w:rsidR="00A30158" w:rsidRDefault="00A8054B">
      <w:r>
        <w:t>250X218</w:t>
      </w:r>
    </w:p>
    <w:sectPr w:rsidR="00A30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4B"/>
    <w:rsid w:val="00A30158"/>
    <w:rsid w:val="00A8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C3DE"/>
  <w15:chartTrackingRefBased/>
  <w15:docId w15:val="{297E38F9-179A-4BA9-821D-53604E05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Geovanni Blanco de la Cruz</dc:creator>
  <cp:keywords/>
  <dc:description/>
  <cp:lastModifiedBy>Jose Geovanni Blanco de la Cruz</cp:lastModifiedBy>
  <cp:revision>1</cp:revision>
  <dcterms:created xsi:type="dcterms:W3CDTF">2022-03-06T05:07:00Z</dcterms:created>
  <dcterms:modified xsi:type="dcterms:W3CDTF">2022-03-06T05:08:00Z</dcterms:modified>
</cp:coreProperties>
</file>