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85" w:rsidRDefault="00E07785" w:rsidP="00555C2E">
      <w:pPr>
        <w:pStyle w:val="Sinespaciado"/>
        <w:jc w:val="center"/>
        <w:rPr>
          <w:b/>
        </w:rPr>
      </w:pPr>
    </w:p>
    <w:p w:rsidR="00E07785" w:rsidRDefault="00E07785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  <w:r>
        <w:rPr>
          <w:b/>
        </w:rPr>
        <w:t>EXAMEN MAYO PJB – DDV</w:t>
      </w: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rPr>
          <w:b/>
        </w:rPr>
      </w:pPr>
      <w:r>
        <w:rPr>
          <w:b/>
        </w:rPr>
        <w:t>APELLIDOS Y NOMBRE:</w:t>
      </w:r>
    </w:p>
    <w:p w:rsidR="00555C2E" w:rsidRDefault="00555C2E" w:rsidP="00555C2E">
      <w:pPr>
        <w:pStyle w:val="Sinespaciado"/>
        <w:rPr>
          <w:b/>
        </w:rPr>
      </w:pPr>
    </w:p>
    <w:p w:rsidR="00555C2E" w:rsidRDefault="00555C2E" w:rsidP="00555C2E">
      <w:pPr>
        <w:pStyle w:val="Sinespaciado"/>
        <w:jc w:val="both"/>
        <w:rPr>
          <w:b/>
        </w:rPr>
      </w:pPr>
    </w:p>
    <w:p w:rsidR="00555C2E" w:rsidRDefault="00555C2E" w:rsidP="00555C2E">
      <w:pPr>
        <w:pStyle w:val="Sinespaciado"/>
        <w:jc w:val="both"/>
        <w:rPr>
          <w:b/>
        </w:rPr>
      </w:pPr>
    </w:p>
    <w:p w:rsidR="00A67E8D" w:rsidRPr="00EF0D31" w:rsidRDefault="00016787" w:rsidP="00555C2E">
      <w:pPr>
        <w:pStyle w:val="Sinespaciado"/>
        <w:jc w:val="both"/>
        <w:rPr>
          <w:b/>
        </w:rPr>
      </w:pPr>
      <w:r w:rsidRPr="00EF0D31">
        <w:rPr>
          <w:b/>
        </w:rPr>
        <w:t>1</w:t>
      </w:r>
      <w:r w:rsidR="00A67E8D" w:rsidRPr="00EF0D31">
        <w:rPr>
          <w:b/>
        </w:rPr>
        <w:t xml:space="preserve">. </w:t>
      </w:r>
      <w:r w:rsidR="00E426AB" w:rsidRPr="00EF0D31">
        <w:rPr>
          <w:b/>
        </w:rPr>
        <w:t>La facultad o poder de una persona, reconocido y garantizado por una norma jurídica, es:</w:t>
      </w:r>
    </w:p>
    <w:p w:rsidR="00E426AB" w:rsidRDefault="00E426AB" w:rsidP="00555C2E">
      <w:pPr>
        <w:pStyle w:val="Sinespaciado"/>
        <w:jc w:val="both"/>
      </w:pPr>
      <w:r>
        <w:t>a) un Derecho público</w:t>
      </w:r>
    </w:p>
    <w:p w:rsidR="00E426AB" w:rsidRDefault="00E426AB" w:rsidP="00555C2E">
      <w:pPr>
        <w:pStyle w:val="Sinespaciado"/>
        <w:jc w:val="both"/>
      </w:pPr>
      <w:r>
        <w:t>b) un derecho voluntario</w:t>
      </w:r>
    </w:p>
    <w:p w:rsidR="00E426AB" w:rsidRDefault="00E426AB" w:rsidP="00555C2E">
      <w:pPr>
        <w:pStyle w:val="Sinespaciado"/>
        <w:jc w:val="both"/>
      </w:pPr>
      <w:r>
        <w:t>c) una potestad</w:t>
      </w:r>
    </w:p>
    <w:p w:rsidR="00E426AB" w:rsidRPr="0019128D" w:rsidRDefault="00E426AB" w:rsidP="00555C2E">
      <w:pPr>
        <w:pStyle w:val="Sinespaciado"/>
        <w:jc w:val="both"/>
        <w:rPr>
          <w:color w:val="000000" w:themeColor="text1"/>
        </w:rPr>
      </w:pPr>
      <w:r w:rsidRPr="0019128D">
        <w:rPr>
          <w:color w:val="000000" w:themeColor="text1"/>
        </w:rPr>
        <w:t>d) un derecho subjetivo</w:t>
      </w:r>
    </w:p>
    <w:p w:rsidR="00E426AB" w:rsidRDefault="00E426AB" w:rsidP="00555C2E">
      <w:pPr>
        <w:pStyle w:val="Sinespaciado"/>
        <w:jc w:val="both"/>
      </w:pPr>
    </w:p>
    <w:p w:rsidR="00E426AB" w:rsidRPr="00EF0D31" w:rsidRDefault="008D700D" w:rsidP="00555C2E">
      <w:pPr>
        <w:pStyle w:val="Sinespaciado"/>
        <w:jc w:val="both"/>
        <w:rPr>
          <w:b/>
        </w:rPr>
      </w:pPr>
      <w:r>
        <w:rPr>
          <w:b/>
        </w:rPr>
        <w:t>2</w:t>
      </w:r>
      <w:r w:rsidR="00E426AB" w:rsidRPr="00EF0D31">
        <w:rPr>
          <w:b/>
        </w:rPr>
        <w:t>. ¿A qué distinción corresponden los conceptos Derecho Privado/Derecho Público?</w:t>
      </w:r>
    </w:p>
    <w:p w:rsidR="00E426AB" w:rsidRDefault="00E426AB" w:rsidP="00555C2E">
      <w:pPr>
        <w:pStyle w:val="Sinespaciado"/>
        <w:jc w:val="both"/>
      </w:pPr>
      <w:r>
        <w:t xml:space="preserve">a) Conjunto de normas cuya aplicación es susceptible de ser </w:t>
      </w:r>
      <w:r w:rsidR="00214B68">
        <w:t>desplazada y sustitui</w:t>
      </w:r>
      <w:r>
        <w:t>da por</w:t>
      </w:r>
      <w:r w:rsidR="00214B68" w:rsidRPr="00214B68">
        <w:t xml:space="preserve"> </w:t>
      </w:r>
      <w:r w:rsidR="00214B68">
        <w:t>otro régimen jurídico</w:t>
      </w:r>
      <w:r>
        <w:t xml:space="preserve"> </w:t>
      </w:r>
      <w:r w:rsidR="00214B68">
        <w:t xml:space="preserve">voluntariamente estipulado por </w:t>
      </w:r>
      <w:r>
        <w:t>las partes</w:t>
      </w:r>
      <w:r w:rsidR="00214B68">
        <w:t xml:space="preserve"> </w:t>
      </w:r>
      <w:r>
        <w:t>/ Conjunto de normas de obligado cumplimiento.</w:t>
      </w:r>
    </w:p>
    <w:p w:rsidR="00E426AB" w:rsidRDefault="00E426AB" w:rsidP="00555C2E">
      <w:pPr>
        <w:pStyle w:val="Sinespaciado"/>
        <w:jc w:val="both"/>
      </w:pPr>
      <w:r>
        <w:t>b) Conjunto de normas, ordenamiento jurídico / Poder o facultad de la persona reconocido y garantizado por los poderes públicos.</w:t>
      </w:r>
    </w:p>
    <w:p w:rsidR="00E426AB" w:rsidRDefault="00E426AB" w:rsidP="00555C2E">
      <w:pPr>
        <w:pStyle w:val="Sinespaciado"/>
        <w:jc w:val="both"/>
      </w:pPr>
      <w:r>
        <w:t>c) Conjunto de normas dictadas por el poder legislativo/ Conjunto de normas dictadas por el poder ejecutivo</w:t>
      </w:r>
    </w:p>
    <w:p w:rsidR="00E426AB" w:rsidRPr="0019128D" w:rsidRDefault="00E426AB" w:rsidP="00555C2E">
      <w:pPr>
        <w:pStyle w:val="Sinespaciado"/>
        <w:jc w:val="both"/>
        <w:rPr>
          <w:color w:val="000000" w:themeColor="text1"/>
        </w:rPr>
      </w:pPr>
      <w:r w:rsidRPr="0019128D">
        <w:rPr>
          <w:color w:val="000000" w:themeColor="text1"/>
        </w:rPr>
        <w:t xml:space="preserve">d) Conjunto de normas que regulan relaciones jurídicas entre sujetos en situación de igualdad / Conjunto de normas que regulan relaciones jurídicas entre sujetos que no se hallan en situación de igualdad, sino uno de ellos sometido al </w:t>
      </w:r>
      <w:proofErr w:type="spellStart"/>
      <w:r w:rsidRPr="0019128D">
        <w:rPr>
          <w:i/>
          <w:color w:val="000000" w:themeColor="text1"/>
        </w:rPr>
        <w:t>imperium</w:t>
      </w:r>
      <w:proofErr w:type="spellEnd"/>
      <w:r w:rsidRPr="0019128D">
        <w:rPr>
          <w:color w:val="000000" w:themeColor="text1"/>
        </w:rPr>
        <w:t xml:space="preserve"> o autoridad del otro. </w:t>
      </w:r>
    </w:p>
    <w:p w:rsidR="00E426AB" w:rsidRDefault="00E426AB" w:rsidP="00555C2E">
      <w:pPr>
        <w:pStyle w:val="Sinespaciado"/>
        <w:jc w:val="both"/>
      </w:pPr>
    </w:p>
    <w:p w:rsidR="00E426AB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3</w:t>
      </w:r>
      <w:r w:rsidR="00EF2440" w:rsidRPr="00EF0D31">
        <w:rPr>
          <w:b/>
          <w:lang w:val="es-ES_tradnl"/>
        </w:rPr>
        <w:t xml:space="preserve">. </w:t>
      </w:r>
      <w:r w:rsidR="00E426AB" w:rsidRPr="00EF0D31">
        <w:rPr>
          <w:b/>
          <w:lang w:val="es-ES_tradnl"/>
        </w:rPr>
        <w:t>Señala la opción INCORRECTA: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Las materias que deben ser reguladas por ley orgánica no pueden ser reguladas por ley ordinaria.</w:t>
      </w:r>
    </w:p>
    <w:p w:rsidR="00E426AB" w:rsidRPr="0019128D" w:rsidRDefault="00E426AB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b) La ley orgánica es una ley jerárquicamente superior a la ley ordinaria.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La ley orgánica debe ser aprobada por mayoría absoluta del Congreso.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Las materias reservadas a ley orgánica no pueden ser objeto de delegación legislativa a favor del Gobierno.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2440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4</w:t>
      </w:r>
      <w:r w:rsidR="00EF2440" w:rsidRPr="00EF0D31">
        <w:rPr>
          <w:b/>
          <w:lang w:val="es-ES_tradnl"/>
        </w:rPr>
        <w:t>. ¿Cuál de las siguientes características no corresponde a un Decreto-Ley?</w:t>
      </w:r>
    </w:p>
    <w:p w:rsidR="00EF2440" w:rsidRPr="0019128D" w:rsidRDefault="00EF2440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a) Es una norma de rango reglamentario.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Emana del Gobierno.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Requiere la convalidación por parte de las Cortes Generales en el plazo de 30 días.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Responde a motivos de urgente necesidad.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0D31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5</w:t>
      </w:r>
      <w:r w:rsidR="00EF2440" w:rsidRPr="00EF0D31">
        <w:rPr>
          <w:b/>
          <w:lang w:val="es-ES_tradnl"/>
        </w:rPr>
        <w:t xml:space="preserve">. </w:t>
      </w:r>
      <w:r w:rsidR="00EF0D31" w:rsidRPr="00EF0D31">
        <w:rPr>
          <w:b/>
          <w:lang w:val="es-ES_tradnl"/>
        </w:rPr>
        <w:t>¿Qué norma emanada de la Unión Europea constituye un acto normativo dirigido a los Estados y a los ciudadanos, obligatorio en todos sus términos y directamente aplicable en los Estados miembros?</w:t>
      </w:r>
    </w:p>
    <w:p w:rsidR="00EF0D31" w:rsidRPr="0019128D" w:rsidRDefault="00EF0D31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a) Reglamento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Directiva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Recomendación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Dictamen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</w:p>
    <w:p w:rsidR="00E07785" w:rsidRDefault="00E07785" w:rsidP="00555C2E">
      <w:pPr>
        <w:pStyle w:val="Sinespaciado"/>
        <w:jc w:val="both"/>
        <w:rPr>
          <w:b/>
          <w:lang w:val="es-ES_tradnl"/>
        </w:rPr>
      </w:pPr>
    </w:p>
    <w:p w:rsidR="007C73DC" w:rsidRDefault="007C73DC" w:rsidP="00555C2E">
      <w:pPr>
        <w:pStyle w:val="Sinespaciado"/>
        <w:jc w:val="both"/>
        <w:rPr>
          <w:b/>
          <w:lang w:val="es-ES_tradnl"/>
        </w:rPr>
      </w:pPr>
    </w:p>
    <w:p w:rsidR="00703C2E" w:rsidRDefault="00703C2E" w:rsidP="00555C2E">
      <w:pPr>
        <w:pStyle w:val="Sinespaciado"/>
        <w:jc w:val="both"/>
        <w:rPr>
          <w:b/>
          <w:lang w:val="es-ES_tradnl"/>
        </w:rPr>
      </w:pPr>
    </w:p>
    <w:p w:rsidR="001C17D8" w:rsidRPr="00EE5239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6</w:t>
      </w:r>
      <w:r w:rsidR="001C17D8" w:rsidRPr="00EE5239">
        <w:rPr>
          <w:b/>
          <w:lang w:val="es-ES_tradnl"/>
        </w:rPr>
        <w:t>. Señala la opción INCORRECTA:</w:t>
      </w:r>
    </w:p>
    <w:p w:rsidR="001C17D8" w:rsidRPr="0019128D" w:rsidRDefault="001C17D8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a) La capacidad jurídica es contingente y variable</w:t>
      </w:r>
      <w:r w:rsidR="008D700D" w:rsidRPr="0019128D">
        <w:rPr>
          <w:color w:val="000000" w:themeColor="text1"/>
          <w:lang w:val="es-ES_tradnl"/>
        </w:rPr>
        <w:t xml:space="preserve"> según las circunstancias de la persona</w:t>
      </w:r>
    </w:p>
    <w:p w:rsidR="001C17D8" w:rsidRP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C</w:t>
      </w:r>
      <w:r w:rsidRPr="001C17D8">
        <w:rPr>
          <w:lang w:val="es-ES_tradnl"/>
        </w:rPr>
        <w:t>apacidad jurídica</w:t>
      </w:r>
      <w:r>
        <w:rPr>
          <w:lang w:val="es-ES_tradnl"/>
        </w:rPr>
        <w:t xml:space="preserve"> es lo mismo que personalidad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Capacidad jurídica es la aptitud para ser titular de derechos y obligaciones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Capacidad de obrar es la aptitud para ejercitar los derechos y cumplir las obligaciones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EE5239" w:rsidRPr="00EE5239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7</w:t>
      </w:r>
      <w:r w:rsidR="001C17D8" w:rsidRPr="00EE5239">
        <w:rPr>
          <w:b/>
          <w:lang w:val="es-ES_tradnl"/>
        </w:rPr>
        <w:t xml:space="preserve">. </w:t>
      </w:r>
      <w:r w:rsidR="00EE5239" w:rsidRPr="00EE5239">
        <w:rPr>
          <w:b/>
          <w:lang w:val="es-ES_tradnl"/>
        </w:rPr>
        <w:t>Señala la opción INCORRECTA: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a) </w:t>
      </w:r>
      <w:r w:rsidRPr="00F13657">
        <w:rPr>
          <w:lang w:val="es-ES_tradnl"/>
        </w:rPr>
        <w:t>Los Estatutos son el régimen preferente de organización y funcionamiento de las asociaciones.</w:t>
      </w:r>
      <w:r>
        <w:rPr>
          <w:lang w:val="es-ES_tradnl"/>
        </w:rPr>
        <w:t xml:space="preserve"> 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b) Los beneficios </w:t>
      </w:r>
      <w:r w:rsidR="00C86995">
        <w:rPr>
          <w:lang w:val="es-ES_tradnl"/>
        </w:rPr>
        <w:t xml:space="preserve">económicos líquidos </w:t>
      </w:r>
      <w:r>
        <w:rPr>
          <w:lang w:val="es-ES_tradnl"/>
        </w:rPr>
        <w:t>obtenidos por la actividad de la asociación no pueden ser repartidos entre los asociados.</w:t>
      </w:r>
    </w:p>
    <w:p w:rsidR="00EE5239" w:rsidRPr="0019128D" w:rsidRDefault="00EE5239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c) Las asociaciones pueden ser suspendidas o disueltas por orden de la autoridad administrativa o gubernativa.</w:t>
      </w:r>
      <w:r w:rsidR="007C73DC" w:rsidRPr="0019128D">
        <w:rPr>
          <w:color w:val="000000" w:themeColor="text1"/>
          <w:lang w:val="es-ES_tradnl"/>
        </w:rPr>
        <w:t xml:space="preserve"> 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Las asociaciones deben inscribirse en el Registro de Asociaciones a los meros efectos de publicidad.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</w:p>
    <w:p w:rsidR="00EE5239" w:rsidRPr="000958D5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8</w:t>
      </w:r>
      <w:r w:rsidR="00EE5239">
        <w:rPr>
          <w:b/>
          <w:lang w:val="es-ES_tradnl"/>
        </w:rPr>
        <w:t xml:space="preserve">. </w:t>
      </w:r>
      <w:r w:rsidR="00EE5239" w:rsidRPr="000958D5">
        <w:rPr>
          <w:b/>
          <w:lang w:val="es-ES_tradnl"/>
        </w:rPr>
        <w:t>Señala la opción INCORRECTA:</w:t>
      </w:r>
    </w:p>
    <w:p w:rsidR="00EE5239" w:rsidRPr="0019128D" w:rsidRDefault="00EE5239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a) La fundación es</w:t>
      </w:r>
      <w:r w:rsidR="00D302DA" w:rsidRPr="0019128D">
        <w:rPr>
          <w:color w:val="000000" w:themeColor="text1"/>
          <w:lang w:val="es-ES_tradnl"/>
        </w:rPr>
        <w:t>tá constituida por</w:t>
      </w:r>
      <w:r w:rsidRPr="0019128D">
        <w:rPr>
          <w:color w:val="000000" w:themeColor="text1"/>
          <w:lang w:val="es-ES_tradnl"/>
        </w:rPr>
        <w:t xml:space="preserve"> un conjunto de personas que se unen para alcanzar un fin patrimonial común, adoptando para ello un determinado sistema organizativo.</w:t>
      </w:r>
      <w:r w:rsidR="007C73DC" w:rsidRPr="0019128D">
        <w:rPr>
          <w:color w:val="000000" w:themeColor="text1"/>
          <w:lang w:val="es-ES_tradnl"/>
        </w:rPr>
        <w:t xml:space="preserve"> 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La dotación y el patrimonio de una fundación coinciden en el momento de su nacimiento.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El</w:t>
      </w:r>
      <w:r w:rsidRPr="0047666B">
        <w:rPr>
          <w:rFonts w:ascii="Calibri" w:eastAsia="Calibri" w:hAnsi="Calibri" w:cs="Times New Roman"/>
          <w:lang w:val="es-ES_tradnl"/>
        </w:rPr>
        <w:t xml:space="preserve"> </w:t>
      </w:r>
      <w:r w:rsidRPr="0047666B">
        <w:rPr>
          <w:lang w:val="es-ES_tradnl"/>
        </w:rPr>
        <w:t>órgano principal de administración de las fundaciones es el Patronato</w:t>
      </w:r>
      <w:r>
        <w:rPr>
          <w:lang w:val="es-ES_tradnl"/>
        </w:rPr>
        <w:t>.</w:t>
      </w:r>
    </w:p>
    <w:p w:rsidR="00EE5239" w:rsidRDefault="00EE5239" w:rsidP="00555C2E">
      <w:pPr>
        <w:pStyle w:val="Sinespaciado"/>
        <w:jc w:val="both"/>
      </w:pPr>
      <w:r>
        <w:rPr>
          <w:lang w:val="es-ES_tradnl"/>
        </w:rPr>
        <w:t xml:space="preserve">d) </w:t>
      </w:r>
      <w:r w:rsidRPr="00960738">
        <w:t>Las fundaciones tendrán personalidad jurídica desde la inscripción de la escritura pública de su constitución en el correspondiente Registro de Fundaciones</w:t>
      </w:r>
      <w:r>
        <w:t>.</w:t>
      </w:r>
    </w:p>
    <w:p w:rsidR="00C86995" w:rsidRDefault="00C86995" w:rsidP="00555C2E">
      <w:pPr>
        <w:pStyle w:val="Sinespaciado"/>
        <w:jc w:val="both"/>
      </w:pPr>
    </w:p>
    <w:p w:rsidR="00C86995" w:rsidRPr="00C86995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9</w:t>
      </w:r>
      <w:r w:rsidR="00C86995" w:rsidRPr="00C86995">
        <w:rPr>
          <w:b/>
          <w:lang w:val="es-ES_tradnl"/>
        </w:rPr>
        <w:t xml:space="preserve">. La representación mediante la cual </w:t>
      </w:r>
      <w:r w:rsidR="00497F69">
        <w:rPr>
          <w:b/>
          <w:lang w:val="es-ES_tradnl"/>
        </w:rPr>
        <w:t>una norma</w:t>
      </w:r>
      <w:r w:rsidR="00C86995" w:rsidRPr="00C86995">
        <w:rPr>
          <w:b/>
          <w:lang w:val="es-ES_tradnl"/>
        </w:rPr>
        <w:t xml:space="preserve"> confiere un poder de legitimación a una persona, para obrar en interés y por cuenta de otra, con carácter tutelar, para suplir un defecto de capacidad o una situación de imposibilidad de hecho, se llama:</w:t>
      </w:r>
    </w:p>
    <w:p w:rsidR="00C86995" w:rsidRPr="00C86995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</w:t>
      </w:r>
      <w:r w:rsidRPr="00C86995">
        <w:rPr>
          <w:lang w:val="es-ES_tradnl"/>
        </w:rPr>
        <w:t xml:space="preserve"> Representación directa.</w:t>
      </w:r>
    </w:p>
    <w:p w:rsidR="00C86995" w:rsidRPr="0019128D" w:rsidRDefault="00C86995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b) Representación legal.</w:t>
      </w:r>
    </w:p>
    <w:p w:rsidR="00C86995" w:rsidRPr="00C86995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</w:t>
      </w:r>
      <w:r w:rsidRPr="00C86995">
        <w:rPr>
          <w:lang w:val="es-ES_tradnl"/>
        </w:rPr>
        <w:t xml:space="preserve"> Representación indirecta.</w:t>
      </w:r>
    </w:p>
    <w:p w:rsidR="00E431A2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</w:t>
      </w:r>
      <w:r w:rsidRPr="00C86995">
        <w:rPr>
          <w:lang w:val="es-ES_tradnl"/>
        </w:rPr>
        <w:t xml:space="preserve"> Representación voluntaria.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</w:p>
    <w:p w:rsidR="00EE5239" w:rsidRPr="00497F69" w:rsidRDefault="00497F69" w:rsidP="00555C2E">
      <w:pPr>
        <w:pStyle w:val="Sinespaciado"/>
        <w:jc w:val="both"/>
        <w:rPr>
          <w:b/>
          <w:lang w:val="es-ES_tradnl"/>
        </w:rPr>
      </w:pPr>
      <w:r w:rsidRPr="00497F69">
        <w:rPr>
          <w:b/>
          <w:lang w:val="es-ES_tradnl"/>
        </w:rPr>
        <w:t>1</w:t>
      </w:r>
      <w:r w:rsidR="008D700D">
        <w:rPr>
          <w:b/>
          <w:lang w:val="es-ES_tradnl"/>
        </w:rPr>
        <w:t>0</w:t>
      </w:r>
      <w:r w:rsidRPr="00497F69">
        <w:rPr>
          <w:b/>
          <w:lang w:val="es-ES_tradnl"/>
        </w:rPr>
        <w:t>. La representación en la que el representante actúa en interés y por cuenta del representado, pero en su propio nombre, se llama:</w:t>
      </w:r>
    </w:p>
    <w:p w:rsidR="00497F69" w:rsidRPr="00C86995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</w:t>
      </w:r>
      <w:r w:rsidRPr="00C86995">
        <w:rPr>
          <w:lang w:val="es-ES_tradnl"/>
        </w:rPr>
        <w:t xml:space="preserve"> Representación directa.</w:t>
      </w:r>
    </w:p>
    <w:p w:rsidR="00497F69" w:rsidRPr="00C86995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</w:t>
      </w:r>
      <w:r w:rsidRPr="00C86995">
        <w:rPr>
          <w:lang w:val="es-ES_tradnl"/>
        </w:rPr>
        <w:t xml:space="preserve"> Representación legal.</w:t>
      </w:r>
    </w:p>
    <w:p w:rsidR="00497F69" w:rsidRPr="0019128D" w:rsidRDefault="00497F69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c) Representación indirecta.</w:t>
      </w:r>
    </w:p>
    <w:p w:rsidR="00497F69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</w:t>
      </w:r>
      <w:r w:rsidRPr="00C86995">
        <w:rPr>
          <w:lang w:val="es-ES_tradnl"/>
        </w:rPr>
        <w:t xml:space="preserve"> Representación </w:t>
      </w:r>
      <w:r>
        <w:rPr>
          <w:lang w:val="es-ES_tradnl"/>
        </w:rPr>
        <w:t>orgánica</w:t>
      </w:r>
      <w:r w:rsidRPr="00C86995">
        <w:rPr>
          <w:lang w:val="es-ES_tradnl"/>
        </w:rPr>
        <w:t>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2440" w:rsidRPr="00D24F16" w:rsidRDefault="00497F69" w:rsidP="00555C2E">
      <w:pPr>
        <w:pStyle w:val="Sinespaciado"/>
        <w:jc w:val="both"/>
        <w:rPr>
          <w:b/>
          <w:lang w:val="es-ES_tradnl"/>
        </w:rPr>
      </w:pPr>
      <w:r w:rsidRPr="00D24F16">
        <w:rPr>
          <w:b/>
          <w:lang w:val="es-ES_tradnl"/>
        </w:rPr>
        <w:t>1</w:t>
      </w:r>
      <w:r w:rsidR="008D700D">
        <w:rPr>
          <w:b/>
          <w:lang w:val="es-ES_tradnl"/>
        </w:rPr>
        <w:t>1</w:t>
      </w:r>
      <w:r w:rsidRPr="00D24F16">
        <w:rPr>
          <w:b/>
          <w:lang w:val="es-ES_tradnl"/>
        </w:rPr>
        <w:t xml:space="preserve">. </w:t>
      </w:r>
      <w:r w:rsidR="00D24F16" w:rsidRPr="00D24F16">
        <w:rPr>
          <w:b/>
          <w:lang w:val="es-ES_tradnl"/>
        </w:rPr>
        <w:t>Señala cuál de los siguientes NO ES un elemento esencial del contrato: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Objeto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Consentimiento</w:t>
      </w:r>
    </w:p>
    <w:p w:rsidR="00D24F16" w:rsidRPr="0019128D" w:rsidRDefault="00D24F16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c) Condición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Causa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</w:p>
    <w:p w:rsidR="008176AD" w:rsidRDefault="008176A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1</w:t>
      </w:r>
      <w:r w:rsidR="008D700D">
        <w:rPr>
          <w:b/>
          <w:lang w:val="es-ES_tradnl"/>
        </w:rPr>
        <w:t>2</w:t>
      </w:r>
      <w:r>
        <w:rPr>
          <w:b/>
          <w:lang w:val="es-ES_tradnl"/>
        </w:rPr>
        <w:t>. Los contratos que requieren para su perfección, además del consentimiento, la entrega del objeto del contrato, se llaman: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Contratos consensuales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b) Contratos </w:t>
      </w:r>
      <w:r w:rsidR="00FB7BC8">
        <w:rPr>
          <w:lang w:val="es-ES_tradnl"/>
        </w:rPr>
        <w:t>mixtos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Contratos formales</w:t>
      </w:r>
    </w:p>
    <w:p w:rsidR="008176AD" w:rsidRPr="0019128D" w:rsidRDefault="008176AD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d) Contratos reales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</w:p>
    <w:p w:rsidR="00D24F16" w:rsidRPr="00076A4C" w:rsidRDefault="008176AD" w:rsidP="00555C2E">
      <w:pPr>
        <w:pStyle w:val="Sinespaciado"/>
        <w:jc w:val="both"/>
        <w:rPr>
          <w:b/>
          <w:lang w:val="es-ES_tradnl"/>
        </w:rPr>
      </w:pPr>
      <w:r w:rsidRPr="00FB7BC8">
        <w:rPr>
          <w:b/>
          <w:lang w:val="es-ES_tradnl"/>
        </w:rPr>
        <w:t>1</w:t>
      </w:r>
      <w:r w:rsidR="008D700D">
        <w:rPr>
          <w:b/>
          <w:lang w:val="es-ES_tradnl"/>
        </w:rPr>
        <w:t>3</w:t>
      </w:r>
      <w:r w:rsidRPr="00FB7BC8">
        <w:rPr>
          <w:b/>
          <w:lang w:val="es-ES_tradnl"/>
        </w:rPr>
        <w:t xml:space="preserve">. </w:t>
      </w:r>
      <w:r w:rsidR="00D24F16" w:rsidRPr="00076A4C">
        <w:rPr>
          <w:b/>
          <w:lang w:val="es-ES_tradnl"/>
        </w:rPr>
        <w:t>Señala la opción INCORRECTA: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lastRenderedPageBreak/>
        <w:t>a)</w:t>
      </w:r>
      <w:r w:rsidR="00D24F16" w:rsidRPr="00D24F16">
        <w:rPr>
          <w:lang w:val="es-ES_tradnl"/>
        </w:rPr>
        <w:t xml:space="preserve"> El dolo produce la nulidad del co</w:t>
      </w:r>
      <w:r>
        <w:rPr>
          <w:lang w:val="es-ES_tradnl"/>
        </w:rPr>
        <w:t>ntrato si</w:t>
      </w:r>
      <w:r w:rsidR="00D24F16" w:rsidRPr="00D24F16">
        <w:rPr>
          <w:lang w:val="es-ES_tradnl"/>
        </w:rPr>
        <w:t xml:space="preserve"> reca</w:t>
      </w:r>
      <w:r>
        <w:rPr>
          <w:lang w:val="es-ES_tradnl"/>
        </w:rPr>
        <w:t>e</w:t>
      </w:r>
      <w:r w:rsidR="00D24F16" w:rsidRPr="00D24F16">
        <w:rPr>
          <w:lang w:val="es-ES_tradnl"/>
        </w:rPr>
        <w:t xml:space="preserve"> sobre elementos esenciales del mismo.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</w:t>
      </w:r>
      <w:r w:rsidR="00D24F16" w:rsidRPr="00D24F16">
        <w:rPr>
          <w:lang w:val="es-ES_tradnl"/>
        </w:rPr>
        <w:t xml:space="preserve"> La violencia y la intimidación anulan el negocio jurídico, aunque hayan sido ejercidas por un tercero que no intervenga en el mismo.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</w:t>
      </w:r>
      <w:r w:rsidR="00D24F16" w:rsidRPr="00D24F16">
        <w:rPr>
          <w:lang w:val="es-ES_tradnl"/>
        </w:rPr>
        <w:t xml:space="preserve"> El error sobre la persona sólo invalida el co</w:t>
      </w:r>
      <w:r w:rsidR="00D24F16">
        <w:rPr>
          <w:lang w:val="es-ES_tradnl"/>
        </w:rPr>
        <w:t>ntrato</w:t>
      </w:r>
      <w:r w:rsidR="00D24F16" w:rsidRPr="00D24F16">
        <w:rPr>
          <w:lang w:val="es-ES_tradnl"/>
        </w:rPr>
        <w:t xml:space="preserve"> cuando la consideración a ella hubiese sido la causa principal de</w:t>
      </w:r>
      <w:r>
        <w:rPr>
          <w:lang w:val="es-ES_tradnl"/>
        </w:rPr>
        <w:t xml:space="preserve"> su celebración.</w:t>
      </w:r>
    </w:p>
    <w:p w:rsidR="00D24F16" w:rsidRPr="0019128D" w:rsidRDefault="00076A4C" w:rsidP="00555C2E">
      <w:pPr>
        <w:pStyle w:val="Sinespaciado"/>
        <w:jc w:val="both"/>
        <w:rPr>
          <w:color w:val="000000" w:themeColor="text1"/>
          <w:lang w:val="es-ES_tradnl"/>
        </w:rPr>
      </w:pPr>
      <w:r w:rsidRPr="0019128D">
        <w:rPr>
          <w:color w:val="000000" w:themeColor="text1"/>
          <w:lang w:val="es-ES_tradnl"/>
        </w:rPr>
        <w:t>d)</w:t>
      </w:r>
      <w:r w:rsidR="00D24F16" w:rsidRPr="0019128D">
        <w:rPr>
          <w:color w:val="000000" w:themeColor="text1"/>
          <w:lang w:val="es-ES_tradnl"/>
        </w:rPr>
        <w:t xml:space="preserve"> </w:t>
      </w:r>
      <w:r w:rsidRPr="0019128D">
        <w:rPr>
          <w:color w:val="000000" w:themeColor="text1"/>
          <w:lang w:val="es-ES_tradnl"/>
        </w:rPr>
        <w:t>Todas son incorrectas.</w:t>
      </w:r>
      <w:r w:rsidR="0019128D" w:rsidRPr="0019128D">
        <w:rPr>
          <w:color w:val="000000" w:themeColor="text1"/>
          <w:lang w:val="es-ES_tradnl"/>
        </w:rPr>
        <w:t xml:space="preserve"> </w:t>
      </w:r>
    </w:p>
    <w:p w:rsidR="00127DED" w:rsidRDefault="00127DED" w:rsidP="00555C2E">
      <w:pPr>
        <w:pStyle w:val="Sinespaciado"/>
        <w:jc w:val="both"/>
      </w:pPr>
    </w:p>
    <w:p w:rsidR="001E5159" w:rsidRPr="008D700D" w:rsidRDefault="008D700D" w:rsidP="00555C2E">
      <w:pPr>
        <w:pStyle w:val="Sinespaciado"/>
        <w:jc w:val="both"/>
        <w:rPr>
          <w:b/>
        </w:rPr>
      </w:pPr>
      <w:r w:rsidRPr="008D700D">
        <w:rPr>
          <w:b/>
        </w:rPr>
        <w:t xml:space="preserve">15. </w:t>
      </w:r>
      <w:r w:rsidR="001E5159" w:rsidRPr="008D700D">
        <w:rPr>
          <w:b/>
        </w:rPr>
        <w:t>Señala la opción INCORRECTA:</w:t>
      </w:r>
    </w:p>
    <w:p w:rsidR="001E5159" w:rsidRDefault="001E5159" w:rsidP="00555C2E">
      <w:pPr>
        <w:pStyle w:val="Sinespaciado"/>
        <w:jc w:val="both"/>
      </w:pPr>
      <w:r>
        <w:t>a) El derecho moral de autor comprende la facultad de decidir sobre la divulgación de su obra</w:t>
      </w:r>
    </w:p>
    <w:p w:rsidR="001E5159" w:rsidRDefault="001E5159" w:rsidP="00555C2E">
      <w:pPr>
        <w:pStyle w:val="Sinespaciado"/>
        <w:jc w:val="both"/>
      </w:pPr>
      <w:r>
        <w:t>b) El derecho moral de autor comprende la facultad de exigir el respeto a la integridad de su obra.</w:t>
      </w:r>
    </w:p>
    <w:p w:rsidR="001E5159" w:rsidRDefault="001E5159" w:rsidP="00555C2E">
      <w:pPr>
        <w:pStyle w:val="Sinespaciado"/>
        <w:jc w:val="both"/>
      </w:pPr>
      <w:r>
        <w:t>c) El derecho moral de autor comprende la facultad de modificar su obra respetando los derechos adquiridos por terceros</w:t>
      </w:r>
    </w:p>
    <w:p w:rsidR="00A67E8D" w:rsidRPr="0019128D" w:rsidRDefault="001E5159" w:rsidP="00555C2E">
      <w:pPr>
        <w:pStyle w:val="Sinespaciado"/>
        <w:jc w:val="both"/>
        <w:rPr>
          <w:color w:val="000000" w:themeColor="text1"/>
        </w:rPr>
      </w:pPr>
      <w:r w:rsidRPr="0019128D">
        <w:rPr>
          <w:color w:val="000000" w:themeColor="text1"/>
        </w:rPr>
        <w:t>d)</w:t>
      </w:r>
      <w:r w:rsidR="00FB7BC8" w:rsidRPr="0019128D">
        <w:rPr>
          <w:color w:val="000000" w:themeColor="text1"/>
        </w:rPr>
        <w:t xml:space="preserve"> </w:t>
      </w:r>
      <w:r w:rsidRPr="0019128D">
        <w:rPr>
          <w:color w:val="000000" w:themeColor="text1"/>
        </w:rPr>
        <w:t>Todas son incorrectas.</w:t>
      </w:r>
    </w:p>
    <w:p w:rsidR="001E5159" w:rsidRDefault="001E5159" w:rsidP="00555C2E">
      <w:pPr>
        <w:pStyle w:val="Sinespaciado"/>
        <w:jc w:val="both"/>
      </w:pPr>
    </w:p>
    <w:p w:rsidR="006655A6" w:rsidRPr="008D700D" w:rsidRDefault="008D700D" w:rsidP="00555C2E">
      <w:pPr>
        <w:pStyle w:val="Sinespaciado"/>
        <w:jc w:val="both"/>
        <w:rPr>
          <w:b/>
        </w:rPr>
      </w:pPr>
      <w:r w:rsidRPr="008D700D">
        <w:rPr>
          <w:b/>
        </w:rPr>
        <w:t xml:space="preserve">16. </w:t>
      </w:r>
      <w:r w:rsidR="006655A6" w:rsidRPr="008D700D">
        <w:rPr>
          <w:b/>
        </w:rPr>
        <w:t>Señala la opción INCORRECTA:</w:t>
      </w:r>
    </w:p>
    <w:p w:rsidR="006655A6" w:rsidRDefault="006655A6" w:rsidP="00555C2E">
      <w:pPr>
        <w:pStyle w:val="Sinespaciado"/>
        <w:jc w:val="both"/>
      </w:pPr>
      <w:r>
        <w:t>a) Los derechos de explotación del autor sobre la obra comprende los derechos de reproducción, transformación, distribución y comunicación pública</w:t>
      </w:r>
    </w:p>
    <w:p w:rsidR="006655A6" w:rsidRPr="0019128D" w:rsidRDefault="006655A6" w:rsidP="00555C2E">
      <w:pPr>
        <w:pStyle w:val="Sinespaciado"/>
        <w:jc w:val="both"/>
        <w:rPr>
          <w:color w:val="000000" w:themeColor="text1"/>
        </w:rPr>
      </w:pPr>
      <w:bookmarkStart w:id="0" w:name="_GoBack"/>
      <w:r w:rsidRPr="0019128D">
        <w:rPr>
          <w:color w:val="000000" w:themeColor="text1"/>
        </w:rPr>
        <w:t>b) La titularidad de los derechos de explotación de un programa de ordenador creado por un trabajador asalariado corresponde en un 50% al autor y en 50% al empresario</w:t>
      </w:r>
      <w:r w:rsidR="007D28DD" w:rsidRPr="0019128D">
        <w:rPr>
          <w:color w:val="000000" w:themeColor="text1"/>
        </w:rPr>
        <w:t xml:space="preserve"> </w:t>
      </w:r>
    </w:p>
    <w:bookmarkEnd w:id="0"/>
    <w:p w:rsidR="006655A6" w:rsidRDefault="006655A6" w:rsidP="00555C2E">
      <w:pPr>
        <w:pStyle w:val="Sinespaciado"/>
        <w:jc w:val="both"/>
      </w:pPr>
      <w:r>
        <w:t xml:space="preserve">c) </w:t>
      </w:r>
      <w:r w:rsidR="005825EC">
        <w:t xml:space="preserve">Los derechos del autor sobre su obra duran toda la vida </w:t>
      </w:r>
      <w:proofErr w:type="gramStart"/>
      <w:r w:rsidR="005825EC">
        <w:t>del mismo</w:t>
      </w:r>
      <w:proofErr w:type="gramEnd"/>
      <w:r w:rsidR="005825EC">
        <w:t xml:space="preserve"> y 70 años después de su muerte</w:t>
      </w:r>
    </w:p>
    <w:p w:rsidR="006655A6" w:rsidRDefault="006655A6" w:rsidP="00555C2E">
      <w:pPr>
        <w:pStyle w:val="Sinespaciado"/>
        <w:jc w:val="both"/>
      </w:pPr>
      <w:r>
        <w:t xml:space="preserve">d) </w:t>
      </w:r>
      <w:r w:rsidR="005825EC">
        <w:t>El autor puede defender sus derechos mediante la acción de cesación y la acción de indemnización de daños y perjuicios</w:t>
      </w:r>
    </w:p>
    <w:sectPr w:rsidR="006655A6" w:rsidSect="00703C2E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787"/>
    <w:rsid w:val="00016787"/>
    <w:rsid w:val="00050D0B"/>
    <w:rsid w:val="0007546A"/>
    <w:rsid w:val="00076A4C"/>
    <w:rsid w:val="001112CE"/>
    <w:rsid w:val="00127DED"/>
    <w:rsid w:val="0019128D"/>
    <w:rsid w:val="001C17D8"/>
    <w:rsid w:val="001E5159"/>
    <w:rsid w:val="00214B68"/>
    <w:rsid w:val="00255F02"/>
    <w:rsid w:val="00293C01"/>
    <w:rsid w:val="00455BD4"/>
    <w:rsid w:val="004707E1"/>
    <w:rsid w:val="00497F69"/>
    <w:rsid w:val="00552FAB"/>
    <w:rsid w:val="00555C2E"/>
    <w:rsid w:val="0055617C"/>
    <w:rsid w:val="005825EC"/>
    <w:rsid w:val="006505F0"/>
    <w:rsid w:val="006655A6"/>
    <w:rsid w:val="006D6582"/>
    <w:rsid w:val="00703C2E"/>
    <w:rsid w:val="007570B7"/>
    <w:rsid w:val="007C0EB3"/>
    <w:rsid w:val="007C73DC"/>
    <w:rsid w:val="007D28DD"/>
    <w:rsid w:val="007F0EC5"/>
    <w:rsid w:val="008176AD"/>
    <w:rsid w:val="008D700D"/>
    <w:rsid w:val="00A67E8D"/>
    <w:rsid w:val="00B64443"/>
    <w:rsid w:val="00C0440C"/>
    <w:rsid w:val="00C86995"/>
    <w:rsid w:val="00CA61BB"/>
    <w:rsid w:val="00D24F16"/>
    <w:rsid w:val="00D302DA"/>
    <w:rsid w:val="00DA1568"/>
    <w:rsid w:val="00E07785"/>
    <w:rsid w:val="00E426AB"/>
    <w:rsid w:val="00E431A2"/>
    <w:rsid w:val="00ED3070"/>
    <w:rsid w:val="00EE5239"/>
    <w:rsid w:val="00EE5AE1"/>
    <w:rsid w:val="00EF0D31"/>
    <w:rsid w:val="00EF2440"/>
    <w:rsid w:val="00F319EC"/>
    <w:rsid w:val="00F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A6C"/>
  <w15:docId w15:val="{2435D514-938A-4107-A0C2-6B05D0EE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7E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Iván Sanandrés Gutiérrez</cp:lastModifiedBy>
  <cp:revision>2</cp:revision>
  <dcterms:created xsi:type="dcterms:W3CDTF">2018-06-24T15:12:00Z</dcterms:created>
  <dcterms:modified xsi:type="dcterms:W3CDTF">2018-06-24T15:12:00Z</dcterms:modified>
</cp:coreProperties>
</file>