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jc w:val="center"/>
      </w:pPr>
      <w:r>
        <w:rPr>
          <w:b/>
          <w:bCs/>
          <w:color w:val="0A1628"/>
          <w:sz w:val="48"/>
          <w:szCs w:val="48"/>
        </w:rPr>
        <w:t xml:space="preserve">PONTE TRADE</w:t>
      </w:r>
    </w:p>
    <w:p>
      <w:pPr>
        <w:spacing w:after="360" w:before="0"/>
        <w:jc w:val="center"/>
      </w:pPr>
      <w:r>
        <w:rPr>
          <w:color w:val="555555"/>
          <w:sz w:val="20"/>
          <w:szCs w:val="20"/>
        </w:rPr>
        <w:t xml:space="preserve">ponte.trade  ·  an ICTTM company</w:t>
      </w:r>
    </w:p>
    <w:p>
      <w:pPr>
        <w:pBdr>
          <w:top w:val="single" w:color="E8A020" w:sz="6" w:space="4"/>
          <w:bottom w:val="single" w:color="E8A020" w:sz="6" w:space="4"/>
        </w:pBdr>
        <w:spacing w:after="200" w:before="200"/>
        <w:jc w:val="center"/>
      </w:pPr>
      <w:r>
        <w:rPr>
          <w:b/>
          <w:bCs/>
          <w:color w:val="0A1628"/>
          <w:sz w:val="48"/>
          <w:szCs w:val="48"/>
        </w:rPr>
        <w:t xml:space="preserve">Trade Intelligence Products</w:t>
      </w:r>
    </w:p>
    <w:p>
      <w:pPr>
        <w:spacing w:after="120" w:before="240"/>
        <w:jc w:val="center"/>
      </w:pPr>
      <w:r>
        <w:rPr>
          <w:color w:val="1A3A5C"/>
          <w:sz w:val="28"/>
          <w:szCs w:val="28"/>
        </w:rPr>
        <w:t xml:space="preserve">Buyer/Supplier Intelligence + Trade Corridor Report</w:t>
      </w:r>
    </w:p>
    <w:p>
      <w:pPr>
        <w:spacing w:after="0" w:before="80"/>
        <w:jc w:val="center"/>
      </w:pPr>
      <w:r>
        <w:rPr>
          <w:color w:val="555555"/>
          <w:sz w:val="22"/>
          <w:szCs w:val="22"/>
        </w:rPr>
        <w:t xml:space="preserve">Product Page  ·  Wave 4  ·  May 2026</w:t>
      </w:r>
    </w:p>
    <w:p>
      <w:r>
        <w:br w:type="page"/>
      </w:r>
    </w:p>
    <w:p>
      <w:pPr>
        <w:pStyle w:val="Heading1"/>
      </w:pPr>
      <w:r>
        <w:t xml:space="preserve">The decisions these solve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Who should I be selling to? — find qualified buyers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Who should I be sourcing from? — find qualified suppliers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What’s actually flowing on a specific origin–destination corridor? — volumes, prices, operators, seasonality</w:t>
      </w:r>
    </w:p>
    <w:p>
      <w:pPr>
        <w:spacing w:after="120" w:before="80"/>
      </w:pPr>
      <w:r>
        <w:rPr>
          <w:color w:val="555555"/>
          <w:sz w:val="22"/>
          <w:szCs w:val="22"/>
        </w:rPr>
        <w:t xml:space="preserve">Both products are powered by ADAMftd transaction-level customs and bill-of-lading data — actual import and export transactions with real company names, real prices, real ports. Both are delivered as senior-analyst-curated licensed PDFs. Bought once. No subscription. No credits. No platform login.</w:t>
      </w:r>
    </w:p>
    <w:p>
      <w:pPr>
        <w:pBdr>
          <w:bottom w:val="single" w:color="E8A020" w:sz="6" w:space="1"/>
        </w:pBdr>
        <w:spacing w:after="200" w:before="200"/>
      </w:pPr>
    </w:p>
    <w:p>
      <w:pPr>
        <w:pStyle w:val="Heading1"/>
      </w:pPr>
      <w:r>
        <w:t xml:space="preserve">CI-003 — Buyer/Supplier Intelligence</w:t>
      </w:r>
    </w:p>
    <w:p>
      <w:pPr>
        <w:spacing w:after="240" w:before="80"/>
      </w:pPr>
      <w:r>
        <w:rPr>
          <w:b/>
          <w:bCs/>
          <w:color w:val="E8A020"/>
          <w:sz w:val="24"/>
          <w:szCs w:val="24"/>
        </w:rPr>
        <w:t xml:space="preserve">CI-003  ·  From $2,000  ·  48-hour delivery  ·  Tier B</w:t>
      </w:r>
    </w:p>
    <w:p>
      <w:pPr>
        <w:spacing w:after="120" w:before="80"/>
      </w:pPr>
      <w:r>
        <w:rPr>
          <w:color w:val="555555"/>
          <w:sz w:val="22"/>
          <w:szCs w:val="22"/>
        </w:rPr>
        <w:t xml:space="preserve">A ranked, contactable shortlist of qualified buyers OR suppliers for one HS code. Senior-analyst-curated from transaction-level customs records.</w:t>
      </w:r>
    </w:p>
    <w:p>
      <w:pPr>
        <w:pStyle w:val="Heading3"/>
      </w:pPr>
      <w:r>
        <w:t xml:space="preserve">You configure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Role — looking for buyers OR suppliers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HS code (one)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Pack size — Top 50, 100, 200, or 500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Target market (optional)</w:t>
      </w:r>
    </w:p>
    <w:p>
      <w:pPr>
        <w:pStyle w:val="Heading3"/>
      </w:pPr>
      <w:r>
        <w:t xml:space="preserve">Pricing by pack size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color w:val="0A1628"/>
                <w:sz w:val="22"/>
                <w:szCs w:val="22"/>
              </w:rPr>
              <w:t xml:space="preserve">Pack</w:t>
            </w:r>
          </w:p>
        </w:tc>
        <w:tc>
          <w:tcPr>
            <w:tcW w:type="dxa" w:w="57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color w:val="0A1628"/>
                <w:sz w:val="22"/>
                <w:szCs w:val="22"/>
              </w:rPr>
              <w:t xml:space="preserve">Price</w:t>
            </w:r>
          </w:p>
        </w:tc>
      </w:tr>
      <w:tr>
        <w:tc>
          <w:tcPr>
            <w:tcW w:type="dxa" w:w="3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Top 50</w:t>
            </w:r>
          </w:p>
        </w:tc>
        <w:tc>
          <w:tcPr>
            <w:tcW w:type="dxa" w:w="57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$2,000</w:t>
            </w:r>
          </w:p>
        </w:tc>
      </w:tr>
      <w:tr>
        <w:tc>
          <w:tcPr>
            <w:tcW w:type="dxa" w:w="3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Top 100</w:t>
            </w:r>
          </w:p>
        </w:tc>
        <w:tc>
          <w:tcPr>
            <w:tcW w:type="dxa" w:w="57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$3,000</w:t>
            </w:r>
          </w:p>
        </w:tc>
      </w:tr>
      <w:tr>
        <w:tc>
          <w:tcPr>
            <w:tcW w:type="dxa" w:w="3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Top 200</w:t>
            </w:r>
          </w:p>
        </w:tc>
        <w:tc>
          <w:tcPr>
            <w:tcW w:type="dxa" w:w="57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$5,000</w:t>
            </w:r>
          </w:p>
        </w:tc>
      </w:tr>
      <w:tr>
        <w:tc>
          <w:tcPr>
            <w:tcW w:type="dxa" w:w="3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Top 500</w:t>
            </w:r>
          </w:p>
        </w:tc>
        <w:tc>
          <w:tcPr>
            <w:tcW w:type="dxa" w:w="57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$11,000</w:t>
            </w:r>
          </w:p>
        </w:tc>
      </w:tr>
    </w:tbl>
    <w:p>
      <w:pPr>
        <w:spacing w:after="80" w:before="80"/>
      </w:pPr>
    </w:p>
    <w:p>
      <w:pPr>
        <w:pStyle w:val="Heading3"/>
      </w:pPr>
      <w:r>
        <w:t xml:space="preserve">What you get in the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Ranked counterparty list (by trade volume)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Company name, country, estimated annual volumes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Verified contact details where available (Top 100+)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Counterparty risk flags (sanctions screen)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Methodology and full source citations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Single-organisation licence</w:t>
      </w:r>
    </w:p>
    <w:p>
      <w:pPr>
        <w:pStyle w:val="Heading3"/>
      </w:pPr>
      <w:r>
        <w:t xml:space="preserve">When to commission CI-003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You’re entering a new market and need to identify buyers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You’re diversifying sourcing and need supplier alternatives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You’re evaluating partnership candidates and need volume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You’re a trade-finance team validating counterparty quality</w:t>
      </w:r>
    </w:p>
    <w:p>
      <w:pPr>
        <w:pStyle w:val="Heading3"/>
      </w:pPr>
      <w:r>
        <w:t xml:space="preserve">What CI-003 is not</w:t>
      </w:r>
    </w:p>
    <w:p>
      <w:pPr>
        <w:spacing w:after="120" w:before="80"/>
      </w:pPr>
      <w:r>
        <w:rPr>
          <w:color w:val="555555"/>
          <w:sz w:val="22"/>
          <w:szCs w:val="22"/>
        </w:rPr>
        <w:t xml:space="preserve">Not a CRM. Not a contact-database subscription. Not a list export from a business directory. Each shortlist is curated by a senior analyst against transaction evidence and screened for sanctions exposure.</w:t>
      </w:r>
    </w:p>
    <w:p>
      <w:pPr>
        <w:pBdr>
          <w:bottom w:val="single" w:color="E8A020" w:sz="6" w:space="1"/>
        </w:pBdr>
        <w:spacing w:after="200" w:before="200"/>
      </w:pPr>
    </w:p>
    <w:p>
      <w:pPr>
        <w:pStyle w:val="Heading1"/>
      </w:pPr>
      <w:r>
        <w:t xml:space="preserve">MR-004 — Trade Corridor Report</w:t>
      </w:r>
    </w:p>
    <w:p>
      <w:pPr>
        <w:spacing w:after="240" w:before="80"/>
      </w:pPr>
      <w:r>
        <w:rPr>
          <w:b/>
          <w:bCs/>
          <w:color w:val="E8A020"/>
          <w:sz w:val="24"/>
          <w:szCs w:val="24"/>
        </w:rPr>
        <w:t xml:space="preserve">MR-004  ·  $399  ·  48-hour delivery  ·  Tier A</w:t>
      </w:r>
    </w:p>
    <w:p>
      <w:pPr>
        <w:spacing w:after="120" w:before="80"/>
      </w:pPr>
      <w:r>
        <w:rPr>
          <w:color w:val="555555"/>
          <w:sz w:val="22"/>
          <w:szCs w:val="22"/>
        </w:rPr>
        <w:t xml:space="preserve">Origin-to-destination product flow analysis for one HS code: who’s shipping, how much, at what prices, through which ports.</w:t>
      </w:r>
    </w:p>
    <w:p>
      <w:pPr>
        <w:pStyle w:val="Heading3"/>
      </w:pPr>
      <w:r>
        <w:t xml:space="preserve">You configure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Origin country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Destination country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HS code (one)</w:t>
      </w:r>
    </w:p>
    <w:p>
      <w:pPr>
        <w:pStyle w:val="Heading3"/>
      </w:pPr>
      <w:r>
        <w:t xml:space="preserve">What you get in the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Corridor volume and value, 5-year trend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Unit price analysis (CIF, FOB where derivable)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Top shipping operators and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Leading ports of loading and discharge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Seasonal flow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Key trade partners on the corridor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Methodology and full source citations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Single-organisation licence</w:t>
      </w:r>
    </w:p>
    <w:p>
      <w:pPr>
        <w:pStyle w:val="Heading3"/>
      </w:pPr>
      <w:r>
        <w:t xml:space="preserve">When to commission MR-004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You’re pricing a new lane and need price benchmarks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You’re assessing competitor flow on a corridor where you operate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You’re a trade-finance or freight-forwarder team underwriting trade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You’re investigating a sourcing arbitrage between corridors</w:t>
      </w:r>
    </w:p>
    <w:p>
      <w:pPr>
        <w:pStyle w:val="Heading3"/>
      </w:pPr>
      <w:r>
        <w:t xml:space="preserve">What MR-004 is not</w:t>
      </w:r>
    </w:p>
    <w:p>
      <w:pPr>
        <w:spacing w:after="120" w:before="80"/>
      </w:pPr>
      <w:r>
        <w:rPr>
          <w:color w:val="555555"/>
          <w:sz w:val="22"/>
          <w:szCs w:val="22"/>
        </w:rPr>
        <w:t xml:space="preserve">Not a real-time tracking feed. Not a vessel-by-vessel AIS dashboard. Not a raw shipment dump. The deliverable is an analyst-written PDF answering: “what does this corridor look like and what should we do about it?”</w:t>
      </w:r>
    </w:p>
    <w:p>
      <w:pPr>
        <w:pBdr>
          <w:bottom w:val="single" w:color="E8A020" w:sz="6" w:space="1"/>
        </w:pBdr>
        <w:spacing w:after="200" w:before="200"/>
      </w:pPr>
    </w:p>
    <w:p>
      <w:pPr>
        <w:pStyle w:val="Heading1"/>
      </w:pPr>
      <w:r>
        <w:t xml:space="preserve">About the data behind both products</w:t>
      </w:r>
    </w:p>
    <w:p>
      <w:pPr>
        <w:spacing w:after="120" w:before="80"/>
      </w:pPr>
      <w:r>
        <w:rPr>
          <w:color w:val="555555"/>
          <w:sz w:val="22"/>
          <w:szCs w:val="22"/>
        </w:rPr>
        <w:t xml:space="preserve">Both products use ADAMftd’s transaction-level dataset, which combines customs declarations and bill-of-lading filings from 30+ source countries.</w:t>
      </w:r>
    </w:p>
    <w:p>
      <w:pPr>
        <w:pStyle w:val="Heading3"/>
      </w:pPr>
      <w:r>
        <w:t xml:space="preserve">Strong coverage</w:t>
      </w:r>
    </w:p>
    <w:p>
      <w:pPr>
        <w:spacing w:after="120" w:before="80"/>
      </w:pPr>
      <w:r>
        <w:rPr>
          <w:color w:val="555555"/>
          <w:sz w:val="22"/>
          <w:szCs w:val="22"/>
        </w:rPr>
        <w:t xml:space="preserve">United States, Latin America (Mexico, Brazil, Colombia, Chile, Peru, Ecuador), India, Pakistan, Bangladesh, Vietnam, Philippines, Russia, Ukraine, and many African nations.</w:t>
      </w:r>
    </w:p>
    <w:p>
      <w:pPr>
        <w:pStyle w:val="Heading3"/>
      </w:pPr>
      <w:r>
        <w:t xml:space="preserve">Limited or no coverage</w:t>
      </w:r>
    </w:p>
    <w:p>
      <w:pPr>
        <w:spacing w:after="120" w:before="80"/>
      </w:pPr>
      <w:r>
        <w:rPr>
          <w:color w:val="555555"/>
          <w:sz w:val="22"/>
          <w:szCs w:val="22"/>
        </w:rPr>
        <w:t xml:space="preserve">Intra-EU trade (no internal customs barriers), China exports (restricted), Japan, South Korea, Australia, Canada, and some Middle Eastern countries.</w:t>
      </w:r>
    </w:p>
    <w:p>
      <w:pPr>
        <w:pStyle w:val="Heading3"/>
      </w:pPr>
      <w:r>
        <w:t xml:space="preserve">Price extrapolation where direct data is unavailable</w:t>
      </w:r>
    </w:p>
    <w:p>
      <w:pPr>
        <w:spacing w:after="120" w:before="80"/>
      </w:pPr>
      <w:r>
        <w:rPr>
          <w:color w:val="555555"/>
          <w:sz w:val="22"/>
          <w:szCs w:val="22"/>
        </w:rPr>
        <w:t xml:space="preserve">Where direct data isn’t available for a specific route, Ponte analysts use price extrapolation from related corridors with visible data. For example: German tyres arriving at US ports at $45–55/unit CIF allow us to derive a likely intra-EU FOB range for the same product flowing Germany→Italy, where no customs records exist. This kind of triangulation is what an analyst does that raw data alone cannot.</w:t>
      </w:r>
    </w:p>
    <w:p>
      <w:pPr>
        <w:pBdr>
          <w:bottom w:val="single" w:color="E8A020" w:sz="6" w:space="1"/>
        </w:pBdr>
        <w:spacing w:after="200" w:before="200"/>
      </w:pPr>
    </w:p>
    <w:p>
      <w:pPr>
        <w:pStyle w:val="Heading1"/>
      </w:pPr>
      <w:r>
        <w:t xml:space="preserve">Trade data vs. statistical data — why this matters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c>
          <w:tcPr>
            <w:tcW w:type="dxa" w:w="2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color w:val="0A1628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color w:val="0A1628"/>
                <w:sz w:val="22"/>
                <w:szCs w:val="22"/>
              </w:rPr>
              <w:t xml:space="preserve">Transaction data (Ponte)</w:t>
            </w:r>
          </w:p>
        </w:tc>
        <w:tc>
          <w:tcPr>
            <w:tcW w:type="dxa" w:w="3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color w:val="0A1628"/>
                <w:sz w:val="22"/>
                <w:szCs w:val="22"/>
              </w:rPr>
              <w:t xml:space="preserve">Statistical data</w:t>
            </w:r>
          </w:p>
        </w:tc>
      </w:tr>
      <w:tr>
        <w:tc>
          <w:tcPr>
            <w:tcW w:type="dxa" w:w="2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Built from</w:t>
            </w:r>
          </w:p>
        </w:tc>
        <w:tc>
          <w:tcPr>
            <w:tcW w:type="dxa" w:w="3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Customs declarations + BoLs</w:t>
            </w:r>
          </w:p>
        </w:tc>
        <w:tc>
          <w:tcPr>
            <w:tcW w:type="dxa" w:w="3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Aggregated national totals</w:t>
            </w:r>
          </w:p>
        </w:tc>
      </w:tr>
      <w:tr>
        <w:tc>
          <w:tcPr>
            <w:tcW w:type="dxa" w:w="2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Shows</w:t>
            </w:r>
          </w:p>
        </w:tc>
        <w:tc>
          <w:tcPr>
            <w:tcW w:type="dxa" w:w="3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Real buyer &amp; supplier names</w:t>
            </w:r>
          </w:p>
        </w:tc>
        <w:tc>
          <w:tcPr>
            <w:tcW w:type="dxa" w:w="3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Country-level flows only</w:t>
            </w:r>
          </w:p>
        </w:tc>
      </w:tr>
      <w:tr>
        <w:tc>
          <w:tcPr>
            <w:tcW w:type="dxa" w:w="2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Granularity</w:t>
            </w:r>
          </w:p>
        </w:tc>
        <w:tc>
          <w:tcPr>
            <w:tcW w:type="dxa" w:w="3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Per-shipment prices, ports, HS</w:t>
            </w:r>
          </w:p>
        </w:tc>
        <w:tc>
          <w:tcPr>
            <w:tcW w:type="dxa" w:w="3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Average prices, no detail</w:t>
            </w:r>
          </w:p>
        </w:tc>
      </w:tr>
      <w:tr>
        <w:tc>
          <w:tcPr>
            <w:tcW w:type="dxa" w:w="2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Best for</w:t>
            </w:r>
          </w:p>
        </w:tc>
        <w:tc>
          <w:tcPr>
            <w:tcW w:type="dxa" w:w="3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Decisions involving specific counterparties</w:t>
            </w:r>
          </w:p>
        </w:tc>
        <w:tc>
          <w:tcPr>
            <w:tcW w:type="dxa" w:w="3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Macro trends, policy work</w:t>
            </w:r>
          </w:p>
        </w:tc>
      </w:tr>
    </w:tbl>
    <w:p>
      <w:pPr>
        <w:spacing w:after="80" w:before="80"/>
      </w:pPr>
    </w:p>
    <w:p>
      <w:pPr>
        <w:spacing w:after="120" w:before="80"/>
      </w:pPr>
      <w:r>
        <w:rPr>
          <w:color w:val="555555"/>
          <w:sz w:val="22"/>
          <w:szCs w:val="22"/>
        </w:rPr>
        <w:t xml:space="preserve">Statistical data tells you: “Vietnam exported $2.3bn of footwear to the US in 2024.” Transaction data tells you: “Nike Inc. imported 42,000 pairs of running shoes from Pou Chen Corp (Vietnam) via Long Beach on 15 March 2024 at $18.50/pair under HS 6404.11.90.”</w:t>
      </w:r>
    </w:p>
    <w:p>
      <w:pPr>
        <w:spacing w:after="120" w:before="80"/>
      </w:pPr>
      <w:r>
        <w:rPr>
          <w:color w:val="555555"/>
          <w:sz w:val="22"/>
          <w:szCs w:val="22"/>
        </w:rPr>
        <w:t xml:space="preserve">Ponte uses both. CI-003 and MR-004 are the products that turn transaction data into a decision.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Ponte Trade  ·  ponte.trade  ·  an ICTTM company  ·  Wave 4 (May 2026)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2026-05-28T12:18:43.095Z</dcterms:created>
  <dcterms:modified xsi:type="dcterms:W3CDTF">2026-05-28T12:18:43.098Z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