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b/>
          <w:bCs/>
          <w:color w:val="0A1628"/>
          <w:sz w:val="48"/>
          <w:szCs w:val="48"/>
        </w:rPr>
        <w:t xml:space="preserve">PONTE TRADE</w:t>
      </w:r>
    </w:p>
    <w:p>
      <w:pPr>
        <w:spacing w:after="360" w:before="0"/>
        <w:jc w:val="center"/>
      </w:pPr>
      <w:r>
        <w:rPr>
          <w:color w:val="555555"/>
          <w:sz w:val="20"/>
          <w:szCs w:val="20"/>
        </w:rPr>
        <w:t xml:space="preserve">ponte.trade  ·  an ICTTM company</w:t>
      </w:r>
    </w:p>
    <w:p>
      <w:pPr>
        <w:pBdr>
          <w:top w:val="single" w:color="E8A020" w:sz="6" w:space="4"/>
          <w:bottom w:val="single" w:color="E8A020" w:sz="6" w:space="4"/>
        </w:pBdr>
        <w:spacing w:after="200" w:before="200"/>
        <w:jc w:val="center"/>
      </w:pPr>
      <w:r>
        <w:rPr>
          <w:b/>
          <w:bCs/>
          <w:color w:val="0A1628"/>
          <w:sz w:val="48"/>
          <w:szCs w:val="48"/>
        </w:rPr>
        <w:t xml:space="preserve">Tariff &amp; Landed Cost Strategic Brief</w:t>
      </w:r>
    </w:p>
    <w:p>
      <w:pPr>
        <w:spacing w:after="120" w:before="240"/>
        <w:jc w:val="center"/>
      </w:pPr>
      <w:r>
        <w:rPr>
          <w:color w:val="1A3A5C"/>
          <w:sz w:val="28"/>
          <w:szCs w:val="28"/>
        </w:rPr>
        <w:t xml:space="preserve">CT-002  ·  $299  ·  48-hour delivery</w:t>
      </w:r>
    </w:p>
    <w:p>
      <w:pPr>
        <w:spacing w:after="0" w:before="80"/>
        <w:jc w:val="center"/>
      </w:pPr>
      <w:r>
        <w:rPr>
          <w:color w:val="555555"/>
          <w:sz w:val="22"/>
          <w:szCs w:val="22"/>
        </w:rPr>
        <w:t xml:space="preserve">Product Page  ·  Wave 4  ·  May 2026</w:t>
      </w:r>
    </w:p>
    <w:p>
      <w:r>
        <w:br w:type="page"/>
      </w:r>
    </w:p>
    <w:p>
      <w:pPr>
        <w:pStyle w:val="Heading1"/>
      </w:pPr>
      <w:r>
        <w:t xml:space="preserve">The decision you’re making</w:t>
      </w:r>
    </w:p>
    <w:p>
      <w:pPr>
        <w:spacing w:after="200" w:before="200"/>
        <w:jc w:val="left"/>
      </w:pPr>
      <w:r>
        <w:rPr>
          <w:i/>
          <w:iCs/>
          <w:color w:val="0A1628"/>
          <w:sz w:val="24"/>
          <w:szCs w:val="24"/>
        </w:rPr>
        <w:t xml:space="preserve">“Will this product be profitable after duty, and what is the cheapest legal way to bring it in?”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If that’s the question, CT-002 is the answer. A senior-analyst-curated licensed PDF covering tariff classification, duty rates, landed-cost build-up, and mitigation strategy for ONE product on ONE origin-destination corridor. Bought once. No subscription. No credits.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1"/>
      </w:pPr>
      <w:r>
        <w:t xml:space="preserve">You configure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HS code (one)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Origin country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Destination country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Three inputs. That’s the order. Your analyst takes it from there.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1"/>
      </w:pPr>
      <w:r>
        <w:t xml:space="preserve">What you get in the PDF</w:t>
      </w:r>
    </w:p>
    <w:p>
      <w:pPr>
        <w:pStyle w:val="Heading3"/>
      </w:pPr>
      <w:r>
        <w:t xml:space="preserve">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HS / HTS classification check (right code, right 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Disambiguation between adjacent classifications where margin is at risk</w:t>
      </w:r>
    </w:p>
    <w:p>
      <w:pPr>
        <w:pStyle w:val="Heading3"/>
      </w:pPr>
      <w:r>
        <w:t xml:space="preserve">Duty rate landscape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Baseline MFN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Preferential FTA rate (with origin-rule qualification analysis)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Anti-dumping (ADD) and countervailing (CVD) duties where in force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Safeguard duties where applicable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Unilateral measures: Section 301, Section 232, equivalent regimes</w:t>
      </w:r>
    </w:p>
    <w:p>
      <w:pPr>
        <w:pStyle w:val="Heading3"/>
      </w:pPr>
      <w:r>
        <w:t xml:space="preserve">Customs 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Customs value calculation against the chosen Incoterm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First-sale and deductive-value options where relevant</w:t>
      </w:r>
    </w:p>
    <w:p>
      <w:pPr>
        <w:pStyle w:val="Heading3"/>
      </w:pPr>
      <w:r>
        <w:t xml:space="preserve">Landed-cost build-up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Duty + VAT/GST + customs processing fees + freight + insurance + inspection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Total landed cost as a single defensible number</w:t>
      </w:r>
    </w:p>
    <w:p>
      <w:pPr>
        <w:pStyle w:val="Heading3"/>
      </w:pPr>
      <w:r>
        <w:t xml:space="preserve">Mitigation matrix — with quantified savings ranges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FTA / preferential routing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Classification review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Valuation strategy (first-sale, deductive value)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Origin restructuring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Free Trade Zone / inward processing routes</w:t>
      </w:r>
    </w:p>
    <w:p>
      <w:pPr>
        <w:pStyle w:val="Heading3"/>
      </w:pPr>
      <w:r>
        <w:t xml:space="preserve">Forward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Announced rate changes hitting in the next 12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Expiring FTAs and renegotiation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Pending trade-defence cases that could change the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Tariff history (last 5 years) for trend context</w:t>
      </w:r>
    </w:p>
    <w:p>
      <w:pPr>
        <w:pStyle w:val="Heading3"/>
      </w:pPr>
      <w:r>
        <w:t xml:space="preserve">Standard inclusions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Methodology and full source citations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Single-organisation licence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1"/>
      </w:pPr>
      <w:r>
        <w:t xml:space="preserve">Worked example — Laptop, China → US (HS 8471.30)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A1628"/>
                <w:sz w:val="22"/>
                <w:szCs w:val="22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A1628"/>
                <w:sz w:val="22"/>
                <w:szCs w:val="22"/>
              </w:rPr>
              <w:t xml:space="preserve">Rate</w:t>
            </w:r>
          </w:p>
        </w:tc>
        <w:tc>
          <w:tcPr>
            <w:tcW w:type="dxa" w:w="3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0A1628"/>
                <w:sz w:val="22"/>
                <w:szCs w:val="22"/>
              </w:rPr>
              <w:t xml:space="preserve">Amount on $1,000 customs value</w:t>
            </w:r>
          </w:p>
        </w:tc>
      </w:tr>
      <w:tr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MFN duty</w:t>
            </w:r>
          </w:p>
        </w:tc>
        <w:tc>
          <w:tcPr>
            <w:tcW w:type="dxa" w:w="18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0%</w:t>
            </w:r>
          </w:p>
        </w:tc>
        <w:tc>
          <w:tcPr>
            <w:tcW w:type="dxa" w:w="3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Section 301 (List 3)</w:t>
            </w:r>
          </w:p>
        </w:tc>
        <w:tc>
          <w:tcPr>
            <w:tcW w:type="dxa" w:w="18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25%</w:t>
            </w:r>
          </w:p>
        </w:tc>
        <w:tc>
          <w:tcPr>
            <w:tcW w:type="dxa" w:w="3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$250</w:t>
            </w:r>
          </w:p>
        </w:tc>
      </w:tr>
      <w:tr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Harbor Maintenance Fee</w:t>
            </w:r>
          </w:p>
        </w:tc>
        <w:tc>
          <w:tcPr>
            <w:tcW w:type="dxa" w:w="18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0.125%</w:t>
            </w:r>
          </w:p>
        </w:tc>
        <w:tc>
          <w:tcPr>
            <w:tcW w:type="dxa" w:w="3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$1.25</w:t>
            </w:r>
          </w:p>
        </w:tc>
      </w:tr>
      <w:tr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Merchandise Processing Fee</w:t>
            </w:r>
          </w:p>
        </w:tc>
        <w:tc>
          <w:tcPr>
            <w:tcW w:type="dxa" w:w="18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~$30</w:t>
            </w:r>
          </w:p>
        </w:tc>
      </w:tr>
      <w:tr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Total US duty + fees</w:t>
            </w:r>
          </w:p>
        </w:tc>
        <w:tc>
          <w:tcPr>
            <w:tcW w:type="dxa" w:w="18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/>
            </w:r>
          </w:p>
        </w:tc>
        <w:tc>
          <w:tcPr>
            <w:tcW w:type="dxa" w:w="3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~$281</w:t>
            </w:r>
          </w:p>
        </w:tc>
      </w:tr>
    </w:tbl>
    <w:p>
      <w:pPr>
        <w:spacing w:after="80" w:before="80"/>
      </w:pPr>
    </w:p>
    <w:p>
      <w:pPr>
        <w:spacing w:after="120" w:before="80"/>
      </w:pPr>
      <w:r>
        <w:rPr>
          <w:color w:val="555555"/>
          <w:sz w:val="22"/>
          <w:szCs w:val="22"/>
        </w:rPr>
        <w:t xml:space="preserve">A zero MFN rate doesn’t protect against Section 301, ADD, or safeguard duties. The mitigation analysis in your CT-002 brief identifies whether shifting origin (e.g. to Vietnam or Mexico under USMCA) clears the Section 301 layer, and quantifies the savings net of re-routing cost.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1"/>
      </w:pPr>
      <w:r>
        <w:t xml:space="preserve">When to commission CT-002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You’re pricing a new sourcing lane and need a defensible landed-cost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A duty rate change has hit your margin and you need mitigation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You’re considering an FTA-qualified origin shift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You’re filing or contesting an ADD/CVD case and need the duty landscape mapped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You’re an importer optimising duty drawback or first-sale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2"/>
          <w:szCs w:val="22"/>
        </w:rPr>
        <w:t xml:space="preserve">You’re a trade-finance team underwriting a margin-sensitive trade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1"/>
      </w:pPr>
      <w:r>
        <w:t xml:space="preserve">What CT-002 is not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Not a self-serve calculator. Not an HS-lookup database. Not a duty-rate API subscription. Each brief is written by a senior trade-customs analyst who interprets the rules in the context of your specific corridor — including the cases where the published rate isn’t the rate you’ll actually pay.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1"/>
      </w:pPr>
      <w:r>
        <w:t xml:space="preserve">Data sources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WTO Tariff Database  ·  ITC Market Access Map  ·  national customs authorities (CBP, EU TARIC, HMRC, etc.)  ·  USITC  ·  official Federal Register / EU Official Journal notices for Section 301, ADD, CVD, and safeguard cases.</w:t>
      </w:r>
    </w:p>
    <w:p>
      <w:pPr>
        <w:pBdr>
          <w:bottom w:val="single" w:color="E8A020" w:sz="6" w:space="1"/>
        </w:pBdr>
        <w:spacing w:after="200" w:before="200"/>
      </w:pPr>
    </w:p>
    <w:p>
      <w:pPr>
        <w:pStyle w:val="Heading1"/>
      </w:pPr>
      <w:r>
        <w:t xml:space="preserve">How duties actually work — the background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Every import duty calculation depends on three factors: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555555"/>
          <w:sz w:val="22"/>
          <w:szCs w:val="22"/>
        </w:rPr>
        <w:t xml:space="preserve">HS / HTS code — classification determines the rate. First six digits universal; further digits country-specific (US HTS, EU TARIC). Wrong code, wrong rate.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555555"/>
          <w:sz w:val="22"/>
          <w:szCs w:val="22"/>
        </w:rPr>
        <w:t xml:space="preserve">Customs value — usually the transaction value (price paid or payable) plus insurance, freight, and other costs per the Incoterm. CIF is the most common base globally.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555555"/>
          <w:sz w:val="22"/>
          <w:szCs w:val="22"/>
        </w:rPr>
        <w:t xml:space="preserve">Duty rate — depends on HS code, country of origin, and any trade agreements in force. MFN, FTA, ADD, CVD, safeguard, and unilateral measures can apply simultaneously — or not at all.</w:t>
      </w:r>
    </w:p>
    <w:p>
      <w:pPr>
        <w:spacing w:after="120" w:before="80"/>
      </w:pPr>
      <w:r>
        <w:rPr>
          <w:color w:val="555555"/>
          <w:sz w:val="22"/>
          <w:szCs w:val="22"/>
        </w:rPr>
        <w:t xml:space="preserve">Beyond duties, total landed cost includes VAT/GST (most countries 10–25% on the duty-inclusive customs value), customs processing fees, the US Harbor Maintenance Fee (0.125% on sea cargo), excise duties on alcohol, tobacco and fuel, and inspection and compliance costs (phytosanitary certificates, conformity assessments, lab testing). A CT-002 brief addresses every one of these where they apply to your specific corridor.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Ponte Trade  ·  ponte.trade  ·  an ICTTM company  ·  Wave 4 (May 2026)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2026-05-28T12:18:43.350Z</dcterms:created>
  <dcterms:modified xsi:type="dcterms:W3CDTF">2026-05-28T12:18:43.350Z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