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  <w:jc w:val="center"/>
      </w:pPr>
      <w:r>
        <w:rPr>
          <w:b/>
          <w:bCs/>
          <w:color w:val="0A1628"/>
          <w:sz w:val="48"/>
          <w:szCs w:val="48"/>
        </w:rPr>
        <w:t xml:space="preserve">PONTE TRADE</w:t>
      </w:r>
    </w:p>
    <w:p>
      <w:pPr>
        <w:spacing w:after="360" w:before="0"/>
        <w:jc w:val="center"/>
      </w:pPr>
      <w:r>
        <w:rPr>
          <w:color w:val="555555"/>
          <w:sz w:val="20"/>
          <w:szCs w:val="20"/>
        </w:rPr>
        <w:t xml:space="preserve">ponte.trade  ·  an ICTTM company</w:t>
      </w:r>
    </w:p>
    <w:p>
      <w:pPr>
        <w:pBdr>
          <w:top w:val="single" w:color="E8A020" w:sz="6" w:space="4"/>
          <w:bottom w:val="single" w:color="E8A020" w:sz="6" w:space="4"/>
        </w:pBdr>
        <w:spacing w:after="200" w:before="200"/>
        <w:jc w:val="center"/>
      </w:pPr>
      <w:r>
        <w:rPr>
          <w:b/>
          <w:bCs/>
          <w:color w:val="0A1628"/>
          <w:sz w:val="48"/>
          <w:szCs w:val="48"/>
        </w:rPr>
        <w:t xml:space="preserve">Market Analysis Reports</w:t>
      </w:r>
    </w:p>
    <w:p>
      <w:pPr>
        <w:spacing w:after="120" w:before="240"/>
        <w:jc w:val="center"/>
      </w:pPr>
      <w:r>
        <w:rPr>
          <w:color w:val="1A3A5C"/>
          <w:sz w:val="28"/>
          <w:szCs w:val="28"/>
        </w:rPr>
        <w:t xml:space="preserve">Single-topic and modular senior-analyst briefs</w:t>
      </w:r>
    </w:p>
    <w:p>
      <w:pPr>
        <w:spacing w:after="0" w:before="80"/>
        <w:jc w:val="center"/>
      </w:pPr>
      <w:r>
        <w:rPr>
          <w:color w:val="555555"/>
          <w:sz w:val="22"/>
          <w:szCs w:val="22"/>
        </w:rPr>
        <w:t xml:space="preserve">Product Page  ·  Wave 4  ·  May 2026</w:t>
      </w:r>
    </w:p>
    <w:p>
      <w:r>
        <w:br w:type="page"/>
      </w:r>
    </w:p>
    <w:p>
      <w:pPr>
        <w:pStyle w:val="Heading1"/>
      </w:pPr>
      <w:r>
        <w:t xml:space="preserve">The decision you’re making</w:t>
      </w:r>
    </w:p>
    <w:p>
      <w:pPr>
        <w:spacing w:after="200" w:before="200"/>
        <w:jc w:val="left"/>
      </w:pPr>
      <w:r>
        <w:rPr>
          <w:i/>
          <w:iCs/>
          <w:color w:val="0A1628"/>
          <w:sz w:val="24"/>
          <w:szCs w:val="24"/>
        </w:rPr>
        <w:t xml:space="preserve">“Before I commit time, money, or capacity to this market, what do I need to understand about consumer demand, retail structure, competitors, and entry barriers?”</w:t>
      </w:r>
    </w:p>
    <w:p>
      <w:pPr>
        <w:spacing w:after="120" w:before="80"/>
      </w:pPr>
      <w:r>
        <w:rPr>
          <w:color w:val="555555"/>
          <w:sz w:val="22"/>
          <w:szCs w:val="22"/>
        </w:rPr>
        <w:t xml:space="preserve">If your question fits inside one dimension → MA-100. If it spans several → MA-002. If it’s a full strategic read on a country → upgrade to MR-001.</w:t>
      </w:r>
    </w:p>
    <w:p>
      <w:pPr>
        <w:pBdr>
          <w:bottom w:val="single" w:color="E8A020" w:sz="6" w:space="1"/>
        </w:pBdr>
        <w:spacing w:after="200" w:before="200"/>
      </w:pPr>
    </w:p>
    <w:p>
      <w:pPr>
        <w:pStyle w:val="Heading1"/>
      </w:pPr>
      <w:r>
        <w:t xml:space="preserve">MA-100 — Single Market Analysis Report</w:t>
      </w:r>
    </w:p>
    <w:p>
      <w:pPr>
        <w:spacing w:after="240" w:before="80"/>
      </w:pPr>
      <w:r>
        <w:rPr>
          <w:b/>
          <w:bCs/>
          <w:color w:val="E8A020"/>
          <w:sz w:val="24"/>
          <w:szCs w:val="24"/>
        </w:rPr>
        <w:t xml:space="preserve">MA-100  ·  $299  ·  48-hour delivery  ·  Tier A  ·  Live today</w:t>
      </w:r>
    </w:p>
    <w:p>
      <w:pPr>
        <w:spacing w:after="120" w:before="80"/>
      </w:pPr>
      <w:r>
        <w:rPr>
          <w:color w:val="555555"/>
          <w:sz w:val="22"/>
          <w:szCs w:val="22"/>
        </w:rPr>
        <w:t xml:space="preserve">A focused senior-analyst brief on ONE of the eleven dimensions, for ONE HS code, in ONE country. Best for buyers with a specific question.</w:t>
      </w:r>
    </w:p>
    <w:p>
      <w:pPr>
        <w:pStyle w:val="Heading3"/>
      </w:pPr>
      <w:r>
        <w:t xml:space="preserve">You configure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Topic — pick one of the eleven dimensions below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HS code (one)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Target country (one)</w:t>
      </w:r>
    </w:p>
    <w:p>
      <w:pPr>
        <w:pStyle w:val="Heading3"/>
      </w:pPr>
      <w:r>
        <w:t xml:space="preserve">What you get in the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Analyst-written brief on the selected topic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Data-backed findings with full source citations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Methodology appendix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Single-organisation licence</w:t>
      </w:r>
    </w:p>
    <w:p>
      <w:pPr>
        <w:pStyle w:val="Heading3"/>
      </w:pPr>
      <w:r>
        <w:t xml:space="preserve">When to commission MA-100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You already know the country and the product, but need to understand ONE specific dimension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You’re stress-testing one assumption before a bigger commitment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You need a defensible answer to a single board-level question</w:t>
      </w:r>
    </w:p>
    <w:p>
      <w:pPr>
        <w:pBdr>
          <w:bottom w:val="single" w:color="E8A020" w:sz="6" w:space="1"/>
        </w:pBdr>
        <w:spacing w:after="200" w:before="200"/>
      </w:pPr>
    </w:p>
    <w:p>
      <w:pPr>
        <w:pStyle w:val="Heading1"/>
      </w:pPr>
      <w:r>
        <w:t xml:space="preserve">MA-002 — Modular Market Analysis Report ✦ NEW</w:t>
      </w:r>
    </w:p>
    <w:p>
      <w:pPr>
        <w:spacing w:after="240" w:before="80"/>
      </w:pPr>
      <w:r>
        <w:rPr>
          <w:b/>
          <w:bCs/>
          <w:color w:val="E8A020"/>
          <w:sz w:val="24"/>
          <w:szCs w:val="24"/>
        </w:rPr>
        <w:t xml:space="preserve">MA-002  ·  Pricing TBD (reflects modules selected)  ·  48-hour delivery  ·  Tier A</w:t>
      </w:r>
    </w:p>
    <w:p>
      <w:pPr>
        <w:spacing w:after="120" w:before="80"/>
      </w:pPr>
      <w:r>
        <w:rPr>
          <w:color w:val="555555"/>
          <w:sz w:val="22"/>
          <w:szCs w:val="22"/>
        </w:rPr>
        <w:t xml:space="preserve">A structured multi-module report where you tick the dimensions you need from the eleven-module menu. The analyst delivers each selected module as a section of the licensed PDF. Pricing scales with the number of modules.</w:t>
      </w:r>
    </w:p>
    <w:p>
      <w:pPr>
        <w:pStyle w:val="Heading3"/>
      </w:pPr>
      <w:r>
        <w:t xml:space="preserve">You configure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HS code (one)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Target country (one)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Module selection — any combination of the eleven dimensions</w:t>
      </w:r>
    </w:p>
    <w:p>
      <w:pPr>
        <w:pStyle w:val="Heading3"/>
      </w:pPr>
      <w:r>
        <w:t xml:space="preserve">What you get in the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Each selected module delivered as a structured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Each section data-backed with full source citations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Consolidated methodology appendix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Single-organisation licence</w:t>
      </w:r>
    </w:p>
    <w:p>
      <w:pPr>
        <w:pStyle w:val="Heading3"/>
      </w:pPr>
      <w:r>
        <w:t xml:space="preserve">When to commission MA-002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You need more than one dimension but less than a full Country MR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You want predictable scope and a structured, modular deliverable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You’re scoping a market with a defined-perimeter question — e.g. “can I sell organic pasta in Germany?” → market size + consumer preferences + retail snapshot + certifications</w:t>
      </w:r>
    </w:p>
    <w:p>
      <w:pPr>
        <w:pBdr>
          <w:bottom w:val="single" w:color="E8A020" w:sz="6" w:space="1"/>
        </w:pBdr>
        <w:spacing w:after="200" w:before="200"/>
      </w:pPr>
    </w:p>
    <w:p>
      <w:pPr>
        <w:pStyle w:val="Heading1"/>
      </w:pPr>
      <w:r>
        <w:t xml:space="preserve">The eleven-dimension framework</w:t>
      </w:r>
    </w:p>
    <w:p>
      <w:pPr>
        <w:pStyle w:val="Heading2"/>
      </w:pPr>
      <w:r>
        <w:t xml:space="preserve">Market Overview — six dimensions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555555"/>
          <w:sz w:val="22"/>
          <w:szCs w:val="22"/>
        </w:rPr>
        <w:t xml:space="preserve">Retail Snapshot — major retailers, channel mix (modern / traditional / e-com), price-band segmentation, private-label strength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555555"/>
          <w:sz w:val="22"/>
          <w:szCs w:val="22"/>
        </w:rPr>
        <w:t xml:space="preserve">Market Size &amp; Demand — TAM, historical trends, current-year estimates, 3–5 year demand outlook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555555"/>
          <w:sz w:val="22"/>
          <w:szCs w:val="22"/>
        </w:rPr>
        <w:t xml:space="preserve">Consumer Preferences — preferred formats, packaging, quality tiers, brand loyalty vs. price sensitivity, cultural drivers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555555"/>
          <w:sz w:val="22"/>
          <w:szCs w:val="22"/>
        </w:rPr>
        <w:t xml:space="preserve">Market Sentiment — trade press, buyer feedback, social signals, regulatory climate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555555"/>
          <w:sz w:val="22"/>
          <w:szCs w:val="22"/>
        </w:rPr>
        <w:t xml:space="preserve">Seasonal Demand — month-by-month profile, peaks, troughs, regulatory seasonal triggers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555555"/>
          <w:sz w:val="22"/>
          <w:szCs w:val="22"/>
        </w:rPr>
        <w:t xml:space="preserve">Local Production — domestic supply capacity vs. structural import gap</w:t>
      </w:r>
    </w:p>
    <w:p>
      <w:pPr>
        <w:pStyle w:val="Heading2"/>
      </w:pPr>
      <w:r>
        <w:t xml:space="preserve">Trade Readiness — five dimensions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555555"/>
          <w:sz w:val="22"/>
          <w:szCs w:val="22"/>
        </w:rPr>
        <w:t xml:space="preserve">Substitutes &amp; Competitors — direct substitutes, price positioning, market share estimates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555555"/>
          <w:sz w:val="22"/>
          <w:szCs w:val="22"/>
        </w:rPr>
        <w:t xml:space="preserve">SWOT Analysis — product-country specific strengths, weaknesses, opportunities, threats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555555"/>
          <w:sz w:val="22"/>
          <w:szCs w:val="22"/>
        </w:rPr>
        <w:t xml:space="preserve">Entry Barriers — licensing, phytosanitary and food safety standards, distribution complexity, buyer concentration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555555"/>
          <w:sz w:val="22"/>
          <w:szCs w:val="22"/>
        </w:rPr>
        <w:t xml:space="preserve">Packaging &amp; Labelling — mandatory language, nutrition labels, origin marking, sustainability mandates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555555"/>
          <w:sz w:val="22"/>
          <w:szCs w:val="22"/>
        </w:rPr>
        <w:t xml:space="preserve">Quality &amp; Certifications — required certs (HACCP, BRC, IFS, SQF, ISO, EN, ASTM), timelines and cost estimates</w:t>
      </w:r>
    </w:p>
    <w:p>
      <w:pPr>
        <w:pBdr>
          <w:bottom w:val="single" w:color="E8A020" w:sz="6" w:space="1"/>
        </w:pBdr>
        <w:spacing w:after="200" w:before="200"/>
      </w:pPr>
    </w:p>
    <w:p>
      <w:pPr>
        <w:pStyle w:val="Heading1"/>
      </w:pPr>
      <w:r>
        <w:t xml:space="preserve">How to choose between MA-100, MA-002, and MR-001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color w:val="0A1628"/>
                <w:sz w:val="22"/>
                <w:szCs w:val="22"/>
              </w:rPr>
              <w:t xml:space="preserve">Need</w:t>
            </w:r>
          </w:p>
        </w:tc>
        <w:tc>
          <w:tcPr>
            <w:tcW w:type="dxa" w:w="468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color w:val="0A1628"/>
                <w:sz w:val="22"/>
                <w:szCs w:val="22"/>
              </w:rPr>
              <w:t xml:space="preserve">Product</w:t>
            </w:r>
          </w:p>
        </w:tc>
      </w:tr>
      <w:tr>
        <w:tc>
          <w:tcPr>
            <w:tcW w:type="dxa" w:w="468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One specific question</w:t>
            </w:r>
          </w:p>
        </w:tc>
        <w:tc>
          <w:tcPr>
            <w:tcW w:type="dxa" w:w="468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MA-100 ($299)</w:t>
            </w:r>
          </w:p>
        </w:tc>
      </w:tr>
      <w:tr>
        <w:tc>
          <w:tcPr>
            <w:tcW w:type="dxa" w:w="468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Two-to-four dimensions</w:t>
            </w:r>
          </w:p>
        </w:tc>
        <w:tc>
          <w:tcPr>
            <w:tcW w:type="dxa" w:w="468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MA-002 (modular pricing)</w:t>
            </w:r>
          </w:p>
        </w:tc>
      </w:tr>
      <w:tr>
        <w:tc>
          <w:tcPr>
            <w:tcW w:type="dxa" w:w="468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Full integrated market read with executive summary</w:t>
            </w:r>
          </w:p>
        </w:tc>
        <w:tc>
          <w:tcPr>
            <w:tcW w:type="dxa" w:w="468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MR-001 Single Country Market Report ($1,099, 72h)</w:t>
            </w:r>
          </w:p>
        </w:tc>
      </w:tr>
      <w:tr>
        <w:tc>
          <w:tcPr>
            <w:tcW w:type="dxa" w:w="468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Multi-country comparative</w:t>
            </w:r>
          </w:p>
        </w:tc>
        <w:tc>
          <w:tcPr>
            <w:tcW w:type="dxa" w:w="468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MR-002 Multi-Country Comparative Strategy ($1,599, 96h)</w:t>
            </w:r>
          </w:p>
        </w:tc>
      </w:tr>
    </w:tbl>
    <w:p>
      <w:pPr>
        <w:spacing w:after="80" w:before="80"/>
      </w:pPr>
    </w:p>
    <w:p>
      <w:pPr>
        <w:spacing w:after="120" w:before="80"/>
      </w:pPr>
      <w:r>
        <w:rPr>
          <w:color w:val="555555"/>
          <w:sz w:val="22"/>
          <w:szCs w:val="22"/>
        </w:rPr>
        <w:t xml:space="preserve">MA-100, MA-002, and MR-001 are three points on the same spectrum: width of the question and depth of strategic integration. The analyst pool is the same.</w:t>
      </w:r>
    </w:p>
    <w:p>
      <w:pPr>
        <w:pBdr>
          <w:bottom w:val="single" w:color="E8A020" w:sz="6" w:space="1"/>
        </w:pBdr>
        <w:spacing w:after="200" w:before="200"/>
      </w:pPr>
    </w:p>
    <w:p>
      <w:pPr>
        <w:pStyle w:val="Heading1"/>
      </w:pPr>
      <w:r>
        <w:t xml:space="preserve">When to commission an MA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You’re a brand or exporter preparing a market-entry pitch and need defensible data on retail, consumer and competitive dimensions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You’re an importer evaluating a new product line and need to understand demand and seasonality before placing orders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You’re a trade-finance team sizing the underlying market opportunity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You’re an investor or analyst building a sector-level thesis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You’re a government trade-promotion agency advising exporters on market selection</w:t>
      </w:r>
    </w:p>
    <w:p>
      <w:pPr>
        <w:pBdr>
          <w:bottom w:val="single" w:color="E8A020" w:sz="6" w:space="1"/>
        </w:pBdr>
        <w:spacing w:after="200" w:before="200"/>
      </w:pPr>
    </w:p>
    <w:p>
      <w:pPr>
        <w:pStyle w:val="Heading1"/>
      </w:pPr>
      <w:r>
        <w:t xml:space="preserve">What an MA report is not</w:t>
      </w:r>
    </w:p>
    <w:p>
      <w:pPr>
        <w:spacing w:after="120" w:before="80"/>
      </w:pPr>
      <w:r>
        <w:rPr>
          <w:color w:val="555555"/>
          <w:sz w:val="22"/>
          <w:szCs w:val="22"/>
        </w:rPr>
        <w:t xml:space="preserve">Not an AI-generated dashboard. Not a SaaS subscription. Not a generic syndicated market research download. Each brief is written from authoritative sources by a senior sector analyst, with the buyer’s specific question front-of-mind. The PDF is the deliverable. There is no platform to learn, no credit balance to top up, no licence to renew.</w:t>
      </w:r>
    </w:p>
    <w:p>
      <w:pPr>
        <w:pBdr>
          <w:bottom w:val="single" w:color="E8A020" w:sz="6" w:space="1"/>
        </w:pBdr>
        <w:spacing w:after="200" w:before="200"/>
      </w:pPr>
    </w:p>
    <w:p>
      <w:pPr>
        <w:pStyle w:val="Heading1"/>
      </w:pPr>
      <w:r>
        <w:t xml:space="preserve">Data sources</w:t>
      </w:r>
    </w:p>
    <w:p>
      <w:pPr>
        <w:spacing w:after="120" w:before="80"/>
      </w:pPr>
      <w:r>
        <w:rPr>
          <w:color w:val="555555"/>
          <w:sz w:val="22"/>
          <w:szCs w:val="22"/>
        </w:rPr>
        <w:t xml:space="preserve">UN Comtrade  ·  World Bank  ·  WTO  ·  Eurostat  ·  ITC  ·  EU Taxud  ·  sector-specific retail and consumer data sources  ·  primary research where applicable  ·  ICTTM transaction data for competitive intelligence modules.</w:t>
      </w:r>
    </w:p>
    <w:p>
      <w:pPr>
        <w:pBdr>
          <w:bottom w:val="single" w:color="E8A020" w:sz="6" w:space="1"/>
        </w:pBdr>
        <w:spacing w:after="200" w:before="200"/>
      </w:pPr>
    </w:p>
    <w:p>
      <w:pPr>
        <w:pStyle w:val="Heading1"/>
      </w:pPr>
      <w:r>
        <w:t xml:space="preserve">The Ponte advantage</w:t>
      </w:r>
    </w:p>
    <w:p>
      <w:pPr>
        <w:spacing w:after="120" w:before="80"/>
      </w:pPr>
      <w:r>
        <w:rPr>
          <w:color w:val="555555"/>
          <w:sz w:val="22"/>
          <w:szCs w:val="22"/>
        </w:rPr>
        <w:t xml:space="preserve">Unlike generic market research, every claim in a Ponte Market Analysis about market size, price levels, or competitive dynamics is anchored to actual customs declarations, retail data, or primary sources — not modelled estimates or survey responses. The senior analyst’s job is to turn that evidence into a decision you can defend.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Ponte Trade  ·  ponte.trade  ·  an ICTTM company  ·  Wave 4 (May 2026)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2026-05-28T12:18:43.401Z</dcterms:created>
  <dcterms:modified xsi:type="dcterms:W3CDTF">2026-05-28T12:18:43.401Z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