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0A1628"/>
          <w:sz w:val="48"/>
          <w:szCs w:val="48"/>
        </w:rPr>
        <w:t xml:space="preserve">PONTE TRADE</w:t>
      </w:r>
    </w:p>
    <w:p>
      <w:pPr>
        <w:spacing w:after="360" w:before="0"/>
        <w:jc w:val="center"/>
      </w:pPr>
      <w:r>
        <w:rPr>
          <w:color w:val="555555"/>
          <w:sz w:val="20"/>
          <w:szCs w:val="20"/>
        </w:rPr>
        <w:t xml:space="preserve">ponte.trade  ·  an ICTTM company</w:t>
      </w:r>
    </w:p>
    <w:p>
      <w:pPr>
        <w:pBdr>
          <w:top w:val="single" w:color="E8A020" w:sz="6" w:space="4"/>
          <w:bottom w:val="single" w:color="E8A020" w:sz="6" w:space="4"/>
        </w:pBdr>
        <w:spacing w:after="200" w:before="200"/>
        <w:jc w:val="center"/>
      </w:pPr>
      <w:r>
        <w:rPr>
          <w:b/>
          <w:bCs/>
          <w:color w:val="0A1628"/>
          <w:sz w:val="48"/>
          <w:szCs w:val="48"/>
        </w:rPr>
        <w:t xml:space="preserve">Market Reports</w:t>
      </w:r>
    </w:p>
    <w:p>
      <w:pPr>
        <w:spacing w:after="120" w:before="240"/>
        <w:jc w:val="center"/>
      </w:pPr>
      <w:r>
        <w:rPr>
          <w:color w:val="1A3A5C"/>
          <w:sz w:val="28"/>
          <w:szCs w:val="28"/>
        </w:rPr>
        <w:t xml:space="preserve">Global OR for a specific country — always for ONE specific HS code</w:t>
      </w:r>
    </w:p>
    <w:p>
      <w:pPr>
        <w:spacing w:after="0" w:before="80"/>
        <w:jc w:val="center"/>
      </w:pPr>
      <w:r>
        <w:rPr>
          <w:color w:val="555555"/>
          <w:sz w:val="22"/>
          <w:szCs w:val="22"/>
        </w:rPr>
        <w:t xml:space="preserve">Product Page  ·  Wave 4  ·  May 2026</w:t>
      </w:r>
    </w:p>
    <w:p>
      <w:r>
        <w:br w:type="page"/>
      </w:r>
    </w:p>
    <w:p>
      <w:pPr>
        <w:pStyle w:val="Heading1"/>
      </w:pPr>
      <w:r>
        <w:t xml:space="preserve">The Ponte Market Reports rule</w:t>
      </w:r>
    </w:p>
    <w:p>
      <w:pPr>
        <w:spacing w:after="200" w:before="200"/>
        <w:jc w:val="left"/>
      </w:pPr>
      <w:r>
        <w:rPr>
          <w:i/>
          <w:iCs/>
          <w:color w:val="0A1628"/>
          <w:sz w:val="24"/>
          <w:szCs w:val="24"/>
        </w:rPr>
        <w:t xml:space="preserve">A Ponte Market Report covers ONE specific market — either the world, or one country — for ONE specific HS code. That’s it.</w:t>
      </w:r>
    </w:p>
    <w:p>
      <w:pPr>
        <w:spacing w:after="120" w:before="80"/>
      </w:pPr>
      <w:r>
        <w:rPr>
          <w:color w:val="555555"/>
          <w:sz w:val="22"/>
          <w:szCs w:val="22"/>
        </w:rPr>
        <w:t xml:space="preserve">Each report is produced by a senior analyst from authoritative trade-statistics sources and delivered as a licensed PDF. Bought once. No subscription. No credits. No platform login.</w:t>
      </w:r>
    </w:p>
    <w:p>
      <w:pPr>
        <w:pBdr>
          <w:bottom w:val="single" w:color="E8A020" w:sz="6" w:space="1"/>
        </w:pBdr>
        <w:spacing w:after="200" w:before="200"/>
      </w:pPr>
    </w:p>
    <w:p>
      <w:pPr>
        <w:pStyle w:val="Heading1"/>
      </w:pPr>
      <w:r>
        <w:t xml:space="preserve">The four market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2520"/>
        <w:gridCol w:w="1200"/>
        <w:gridCol w:w="1200"/>
      </w:tblGrid>
      <w:tr>
        <w:tc>
          <w:tcPr>
            <w:tcW w:type="dxa" w:w="144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SKU</w:t>
            </w:r>
          </w:p>
        </w:tc>
        <w:tc>
          <w:tcPr>
            <w:tcW w:type="dxa" w:w="300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Title</w:t>
            </w:r>
          </w:p>
        </w:tc>
        <w:tc>
          <w:tcPr>
            <w:tcW w:type="dxa" w:w="252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Scope</w:t>
            </w:r>
          </w:p>
        </w:tc>
        <w:tc>
          <w:tcPr>
            <w:tcW w:type="dxa" w:w="120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Price</w:t>
            </w:r>
          </w:p>
        </w:tc>
        <w:tc>
          <w:tcPr>
            <w:tcW w:type="dxa" w:w="120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SLA</w:t>
            </w:r>
          </w:p>
        </w:tc>
      </w:tr>
      <w:tr>
        <w:tc>
          <w:tcPr>
            <w:tcW w:type="dxa" w:w="144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MR-001</w:t>
            </w:r>
          </w:p>
        </w:tc>
        <w:tc>
          <w:tcPr>
            <w:tcW w:type="dxa" w:w="30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Single Country Market Report</w:t>
            </w:r>
          </w:p>
        </w:tc>
        <w:tc>
          <w:tcPr>
            <w:tcW w:type="dxa" w:w="252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One country</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$1,099</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72h</w:t>
            </w:r>
          </w:p>
        </w:tc>
      </w:tr>
      <w:tr>
        <w:tc>
          <w:tcPr>
            <w:tcW w:type="dxa" w:w="144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MR-005 ✦</w:t>
            </w:r>
          </w:p>
        </w:tc>
        <w:tc>
          <w:tcPr>
            <w:tcW w:type="dxa" w:w="30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Global Market Report</w:t>
            </w:r>
          </w:p>
        </w:tc>
        <w:tc>
          <w:tcPr>
            <w:tcW w:type="dxa" w:w="252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World</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r>
      <w:tr>
        <w:tc>
          <w:tcPr>
            <w:tcW w:type="dxa" w:w="144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MR-006 ✦</w:t>
            </w:r>
          </w:p>
        </w:tc>
        <w:tc>
          <w:tcPr>
            <w:tcW w:type="dxa" w:w="30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US Trade Intelligence Report</w:t>
            </w:r>
          </w:p>
        </w:tc>
        <w:tc>
          <w:tcPr>
            <w:tcW w:type="dxa" w:w="252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United States</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r>
      <w:tr>
        <w:tc>
          <w:tcPr>
            <w:tcW w:type="dxa" w:w="144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SF-001 ✦</w:t>
            </w:r>
          </w:p>
        </w:tc>
        <w:tc>
          <w:tcPr>
            <w:tcW w:type="dxa" w:w="30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EU Seafood Trade Report</w:t>
            </w:r>
          </w:p>
        </w:tc>
        <w:tc>
          <w:tcPr>
            <w:tcW w:type="dxa" w:w="252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EU regional (specialist)</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c>
          <w:tcPr>
            <w:tcW w:type="dxa" w:w="120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TBD</w:t>
            </w:r>
          </w:p>
        </w:tc>
      </w:tr>
    </w:tbl>
    <w:p>
      <w:pPr>
        <w:spacing w:after="80" w:before="80"/>
      </w:pPr>
    </w:p>
    <w:p>
      <w:pPr>
        <w:spacing w:after="120" w:before="80"/>
      </w:pPr>
      <w:r>
        <w:rPr>
          <w:color w:val="555555"/>
          <w:sz w:val="22"/>
          <w:szCs w:val="22"/>
        </w:rPr>
        <w:t xml:space="preserve">✦ = new product (Wave 4+). MR-001 is live today.</w:t>
      </w:r>
    </w:p>
    <w:p>
      <w:pPr>
        <w:pBdr>
          <w:bottom w:val="single" w:color="E8A020" w:sz="6" w:space="1"/>
        </w:pBdr>
        <w:spacing w:after="200" w:before="200"/>
      </w:pPr>
    </w:p>
    <w:p>
      <w:pPr>
        <w:pStyle w:val="Heading1"/>
      </w:pPr>
      <w:r>
        <w:t xml:space="preserve">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Your question</w:t>
            </w:r>
          </w:p>
        </w:tc>
        <w:tc>
          <w:tcPr>
            <w:tcW w:type="dxa" w:w="2880"/>
            <w:tcBorders>
              <w:top w:val="single" w:color="CCD6E0" w:sz="1"/>
              <w:left w:val="single" w:color="CCD6E0" w:sz="1"/>
              <w:bottom w:val="single" w:color="CCD6E0" w:sz="1"/>
              <w:right w:val="single" w:color="CCD6E0" w:sz="1"/>
            </w:tcBorders>
            <w:shd w:fill="EEF3F8" w:val="clear"/>
            <w:tcMar>
              <w:top w:type="dxa" w:w="80"/>
              <w:left w:type="dxa" w:w="120"/>
              <w:bottom w:type="dxa" w:w="80"/>
              <w:right w:type="dxa" w:w="120"/>
            </w:tcMar>
          </w:tcPr>
          <w:p>
            <w:pPr>
              <w:spacing w:after="20" w:before="20"/>
            </w:pPr>
            <w:r>
              <w:rPr>
                <w:b/>
                <w:bCs/>
                <w:color w:val="0A1628"/>
                <w:sz w:val="22"/>
                <w:szCs w:val="22"/>
              </w:rPr>
              <w:t xml:space="preserve">The report</w:t>
            </w:r>
          </w:p>
        </w:tc>
      </w:tr>
      <w:tr>
        <w:tc>
          <w:tcPr>
            <w:tcW w:type="dxa" w:w="64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“Should I enter this specific country with this product?”</w:t>
            </w:r>
          </w:p>
        </w:tc>
        <w:tc>
          <w:tcPr>
            <w:tcW w:type="dxa" w:w="28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MR-001</w:t>
            </w:r>
          </w:p>
        </w:tc>
      </w:tr>
      <w:tr>
        <w:tc>
          <w:tcPr>
            <w:tcW w:type="dxa" w:w="64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“Which country in the world should I focus on for this product?”</w:t>
            </w:r>
          </w:p>
        </w:tc>
        <w:tc>
          <w:tcPr>
            <w:tcW w:type="dxa" w:w="28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MR-005</w:t>
            </w:r>
          </w:p>
        </w:tc>
      </w:tr>
      <w:tr>
        <w:tc>
          <w:tcPr>
            <w:tcW w:type="dxa" w:w="64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“Specifically in the US — who’s importing what from where?”</w:t>
            </w:r>
          </w:p>
        </w:tc>
        <w:tc>
          <w:tcPr>
            <w:tcW w:type="dxa" w:w="28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MR-006</w:t>
            </w:r>
          </w:p>
        </w:tc>
      </w:tr>
      <w:tr>
        <w:tc>
          <w:tcPr>
            <w:tcW w:type="dxa" w:w="64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“How is this seafood species moving into the EU this week?”</w:t>
            </w:r>
          </w:p>
        </w:tc>
        <w:tc>
          <w:tcPr>
            <w:tcW w:type="dxa" w:w="288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tcPr>
          <w:p>
            <w:pPr>
              <w:spacing w:after="20" w:before="20"/>
            </w:pPr>
            <w:r>
              <w:rPr>
                <w:b w:val="false"/>
                <w:bCs w:val="false"/>
                <w:color w:val="555555"/>
                <w:sz w:val="22"/>
                <w:szCs w:val="22"/>
              </w:rPr>
              <w:t xml:space="preserve">SF-001</w:t>
            </w:r>
          </w:p>
        </w:tc>
      </w:tr>
    </w:tbl>
    <w:p>
      <w:pPr>
        <w:spacing w:after="80" w:before="80"/>
      </w:pPr>
    </w:p>
    <w:p>
      <w:pPr>
        <w:spacing w:after="120" w:before="80"/>
      </w:pPr>
      <w:r>
        <w:rPr>
          <w:color w:val="555555"/>
          <w:sz w:val="22"/>
          <w:szCs w:val="22"/>
        </w:rPr>
        <w:t xml:space="preserve">Use MR-005 first when the country is unknown. Once you’ve picked the country, commission MR-001 (or MR-006 if it’s the US) for the deep read.</w:t>
      </w:r>
    </w:p>
    <w:p>
      <w:pPr>
        <w:pBdr>
          <w:bottom w:val="single" w:color="E8A020" w:sz="6" w:space="1"/>
        </w:pBdr>
        <w:spacing w:after="200" w:before="200"/>
      </w:pPr>
    </w:p>
    <w:p>
      <w:pPr>
        <w:pStyle w:val="Heading1"/>
      </w:pPr>
      <w:r>
        <w:t xml:space="preserve">MR-001 — Single Country Market Report</w:t>
      </w:r>
    </w:p>
    <w:p>
      <w:pPr>
        <w:spacing w:after="240" w:before="80"/>
      </w:pPr>
      <w:r>
        <w:rPr>
          <w:b/>
          <w:bCs/>
          <w:color w:val="E8A020"/>
          <w:sz w:val="24"/>
          <w:szCs w:val="24"/>
        </w:rPr>
        <w:t xml:space="preserve">MR-001  ·  $1,099  ·  72-hour delivery  ·  Tier B  ·  Live today</w:t>
      </w:r>
    </w:p>
    <w:p>
      <w:pPr>
        <w:spacing w:after="120" w:before="80"/>
      </w:pPr>
      <w:r>
        <w:rPr>
          <w:color w:val="555555"/>
          <w:sz w:val="22"/>
          <w:szCs w:val="22"/>
        </w:rPr>
        <w:t xml:space="preserve">The decision: “Should I enter this specific country with this product, and on what terms?”</w:t>
      </w:r>
    </w:p>
    <w:p>
      <w:pPr>
        <w:pStyle w:val="Heading3"/>
      </w:pPr>
      <w:r>
        <w:t xml:space="preserve">You configure</w:t>
      </w:r>
    </w:p>
    <w:p>
      <w:pPr>
        <w:pStyle w:val="ListParagraph"/>
        <w:numPr>
          <w:ilvl w:val="0"/>
          <w:numId w:val="2"/>
        </w:numPr>
        <w:spacing w:after="40" w:before="40"/>
      </w:pPr>
      <w:r>
        <w:rPr>
          <w:color w:val="555555"/>
          <w:sz w:val="22"/>
          <w:szCs w:val="22"/>
        </w:rPr>
        <w:t xml:space="preserve">HS code (one)</w:t>
      </w:r>
    </w:p>
    <w:p>
      <w:pPr>
        <w:pStyle w:val="ListParagraph"/>
        <w:numPr>
          <w:ilvl w:val="0"/>
          <w:numId w:val="2"/>
        </w:numPr>
        <w:spacing w:after="40" w:before="40"/>
      </w:pPr>
      <w:r>
        <w:rPr>
          <w:color w:val="555555"/>
          <w:sz w:val="22"/>
          <w:szCs w:val="22"/>
        </w:rPr>
        <w:t xml:space="preserve">Target country (one)</w:t>
      </w:r>
    </w:p>
    <w:p>
      <w:pPr>
        <w:pStyle w:val="Heading3"/>
      </w:pPr>
      <w:r>
        <w:t xml:space="preserve">What you get — 40+ page PDF</w:t>
      </w:r>
    </w:p>
    <w:p>
      <w:pPr>
        <w:pStyle w:val="ListParagraph"/>
        <w:numPr>
          <w:ilvl w:val="0"/>
          <w:numId w:val="2"/>
        </w:numPr>
        <w:spacing w:after="40" w:before="40"/>
      </w:pPr>
      <w:r>
        <w:rPr>
          <w:color w:val="555555"/>
          <w:sz w:val="22"/>
          <w:szCs w:val="22"/>
        </w:rPr>
        <w:t xml:space="preserve">Market structure and competitive landscape</w:t>
      </w:r>
    </w:p>
    <w:p>
      <w:pPr>
        <w:pStyle w:val="ListParagraph"/>
        <w:numPr>
          <w:ilvl w:val="0"/>
          <w:numId w:val="2"/>
        </w:numPr>
        <w:spacing w:after="40" w:before="40"/>
      </w:pPr>
      <w:r>
        <w:rPr>
          <w:color w:val="555555"/>
          <w:sz w:val="22"/>
          <w:szCs w:val="22"/>
        </w:rPr>
        <w:t xml:space="preserve">Demand and import analysis</w:t>
      </w:r>
    </w:p>
    <w:p>
      <w:pPr>
        <w:pStyle w:val="ListParagraph"/>
        <w:numPr>
          <w:ilvl w:val="0"/>
          <w:numId w:val="2"/>
        </w:numPr>
        <w:spacing w:after="40" w:before="40"/>
      </w:pPr>
      <w:r>
        <w:rPr>
          <w:color w:val="555555"/>
          <w:sz w:val="22"/>
          <w:szCs w:val="22"/>
        </w:rPr>
        <w:t xml:space="preserve">Pricing landscape</w:t>
      </w:r>
    </w:p>
    <w:p>
      <w:pPr>
        <w:pStyle w:val="ListParagraph"/>
        <w:numPr>
          <w:ilvl w:val="0"/>
          <w:numId w:val="2"/>
        </w:numPr>
        <w:spacing w:after="40" w:before="40"/>
      </w:pPr>
      <w:r>
        <w:rPr>
          <w:color w:val="555555"/>
          <w:sz w:val="22"/>
          <w:szCs w:val="22"/>
        </w:rPr>
        <w:t xml:space="preserve">Supplier landscape</w:t>
      </w:r>
    </w:p>
    <w:p>
      <w:pPr>
        <w:pStyle w:val="ListParagraph"/>
        <w:numPr>
          <w:ilvl w:val="0"/>
          <w:numId w:val="2"/>
        </w:numPr>
        <w:spacing w:after="40" w:before="40"/>
      </w:pPr>
      <w:r>
        <w:rPr>
          <w:color w:val="555555"/>
          <w:sz w:val="22"/>
          <w:szCs w:val="22"/>
        </w:rPr>
        <w:t xml:space="preserve">Regulatory and risk overview</w:t>
      </w:r>
    </w:p>
    <w:p>
      <w:pPr>
        <w:pStyle w:val="ListParagraph"/>
        <w:numPr>
          <w:ilvl w:val="0"/>
          <w:numId w:val="2"/>
        </w:numPr>
        <w:spacing w:after="40" w:before="40"/>
      </w:pPr>
      <w:r>
        <w:rPr>
          <w:color w:val="555555"/>
          <w:sz w:val="22"/>
          <w:szCs w:val="22"/>
        </w:rPr>
        <w:t xml:space="preserve">Senior-analyst executive summary integrating all of the above</w:t>
      </w:r>
    </w:p>
    <w:p>
      <w:pPr>
        <w:pStyle w:val="ListParagraph"/>
        <w:numPr>
          <w:ilvl w:val="0"/>
          <w:numId w:val="2"/>
        </w:numPr>
        <w:spacing w:after="40" w:before="40"/>
      </w:pPr>
      <w:r>
        <w:rPr>
          <w:color w:val="555555"/>
          <w:sz w:val="22"/>
          <w:szCs w:val="22"/>
        </w:rPr>
        <w:t xml:space="preserve">Methodology appendix</w:t>
      </w:r>
    </w:p>
    <w:p>
      <w:pPr>
        <w:pStyle w:val="ListParagraph"/>
        <w:numPr>
          <w:ilvl w:val="0"/>
          <w:numId w:val="2"/>
        </w:numPr>
        <w:spacing w:after="40" w:before="40"/>
      </w:pPr>
      <w:r>
        <w:rPr>
          <w:color w:val="555555"/>
          <w:sz w:val="22"/>
          <w:szCs w:val="22"/>
        </w:rPr>
        <w:t xml:space="preserve">Single-organisation licence</w:t>
      </w:r>
    </w:p>
    <w:p>
      <w:pPr>
        <w:pStyle w:val="Heading3"/>
      </w:pPr>
      <w:r>
        <w:t xml:space="preserve">When to commission MR-001</w:t>
      </w:r>
    </w:p>
    <w:p>
      <w:pPr>
        <w:pStyle w:val="ListParagraph"/>
        <w:numPr>
          <w:ilvl w:val="0"/>
          <w:numId w:val="2"/>
        </w:numPr>
        <w:spacing w:after="40" w:before="40"/>
      </w:pPr>
      <w:r>
        <w:rPr>
          <w:color w:val="555555"/>
          <w:sz w:val="22"/>
          <w:szCs w:val="22"/>
        </w:rPr>
        <w:t xml:space="preserve">You’ve shortlisted a country and need a board-ready market read</w:t>
      </w:r>
    </w:p>
    <w:p>
      <w:pPr>
        <w:pStyle w:val="ListParagraph"/>
        <w:numPr>
          <w:ilvl w:val="0"/>
          <w:numId w:val="2"/>
        </w:numPr>
        <w:spacing w:after="40" w:before="40"/>
      </w:pPr>
      <w:r>
        <w:rPr>
          <w:color w:val="555555"/>
          <w:sz w:val="22"/>
          <w:szCs w:val="22"/>
        </w:rPr>
        <w:t xml:space="preserve">You’re preparing a market-entry investment case</w:t>
      </w:r>
    </w:p>
    <w:p>
      <w:pPr>
        <w:pStyle w:val="ListParagraph"/>
        <w:numPr>
          <w:ilvl w:val="0"/>
          <w:numId w:val="2"/>
        </w:numPr>
        <w:spacing w:after="40" w:before="40"/>
      </w:pPr>
      <w:r>
        <w:rPr>
          <w:color w:val="555555"/>
          <w:sz w:val="22"/>
          <w:szCs w:val="22"/>
        </w:rPr>
        <w:t xml:space="preserve">You’re underwriting trade finance against a country exposure</w:t>
      </w:r>
    </w:p>
    <w:p>
      <w:pPr>
        <w:pStyle w:val="ListParagraph"/>
        <w:numPr>
          <w:ilvl w:val="0"/>
          <w:numId w:val="2"/>
        </w:numPr>
        <w:spacing w:after="40" w:before="40"/>
      </w:pPr>
      <w:r>
        <w:rPr>
          <w:color w:val="555555"/>
          <w:sz w:val="22"/>
          <w:szCs w:val="22"/>
        </w:rPr>
        <w:t xml:space="preserve">You’re an investor or PE sizing a sector in one geography</w:t>
      </w:r>
    </w:p>
    <w:p>
      <w:pPr>
        <w:pBdr>
          <w:bottom w:val="single" w:color="E8A020" w:sz="6" w:space="1"/>
        </w:pBdr>
        <w:spacing w:after="200" w:before="200"/>
      </w:pPr>
    </w:p>
    <w:p>
      <w:pPr>
        <w:pStyle w:val="Heading1"/>
      </w:pPr>
      <w:r>
        <w:t xml:space="preserve">MR-005 — Global Market Report ✦ NEW</w:t>
      </w:r>
    </w:p>
    <w:p>
      <w:pPr>
        <w:spacing w:after="240" w:before="80"/>
      </w:pPr>
      <w:r>
        <w:rPr>
          <w:b/>
          <w:bCs/>
          <w:color w:val="E8A020"/>
          <w:sz w:val="24"/>
          <w:szCs w:val="24"/>
        </w:rPr>
        <w:t xml:space="preserve">MR-005  ·  Pricing TBD  ·  Delivery TBD  ·  New product</w:t>
      </w:r>
    </w:p>
    <w:p>
      <w:pPr>
        <w:spacing w:after="120" w:before="80"/>
      </w:pPr>
      <w:r>
        <w:rPr>
          <w:color w:val="555555"/>
          <w:sz w:val="22"/>
          <w:szCs w:val="22"/>
        </w:rPr>
        <w:t xml:space="preserve">The decision: “Which country in the world should I focus on for this product?”</w:t>
      </w:r>
    </w:p>
    <w:p>
      <w:pPr>
        <w:spacing w:after="120" w:before="80"/>
      </w:pPr>
      <w:r>
        <w:rPr>
          <w:color w:val="555555"/>
          <w:sz w:val="22"/>
          <w:szCs w:val="22"/>
        </w:rPr>
        <w:t xml:space="preserve">The flagship global report. A comprehensive trade-flow analysis covering any product defined by HS code, drawing on the most complete and authoritative international trade datasets available.</w:t>
      </w:r>
    </w:p>
    <w:p>
      <w:pPr>
        <w:pStyle w:val="Heading3"/>
      </w:pPr>
      <w:r>
        <w:t xml:space="preserve">You configure</w:t>
      </w:r>
    </w:p>
    <w:p>
      <w:pPr>
        <w:pStyle w:val="ListParagraph"/>
        <w:numPr>
          <w:ilvl w:val="0"/>
          <w:numId w:val="2"/>
        </w:numPr>
        <w:spacing w:after="40" w:before="40"/>
      </w:pPr>
      <w:r>
        <w:rPr>
          <w:color w:val="555555"/>
          <w:sz w:val="22"/>
          <w:szCs w:val="22"/>
        </w:rPr>
        <w:t xml:space="preserve">HS code (one — the only geographic input; report covers all countries)</w:t>
      </w:r>
    </w:p>
    <w:p>
      <w:pPr>
        <w:pStyle w:val="ListParagraph"/>
        <w:numPr>
          <w:ilvl w:val="0"/>
          <w:numId w:val="2"/>
        </w:numPr>
        <w:spacing w:after="40" w:before="40"/>
      </w:pPr>
      <w:r>
        <w:rPr>
          <w:color w:val="555555"/>
          <w:sz w:val="22"/>
          <w:szCs w:val="22"/>
        </w:rPr>
        <w:t xml:space="preserve">Time period (default: last 5 years)</w:t>
      </w:r>
    </w:p>
    <w:p>
      <w:pPr>
        <w:pStyle w:val="Heading3"/>
      </w:pPr>
      <w:r>
        <w:t xml:space="preserve">What you get in the PDF</w:t>
      </w:r>
    </w:p>
    <w:p>
      <w:pPr>
        <w:pStyle w:val="ListParagraph"/>
        <w:numPr>
          <w:ilvl w:val="0"/>
          <w:numId w:val="2"/>
        </w:numPr>
        <w:spacing w:after="40" w:before="40"/>
      </w:pPr>
      <w:r>
        <w:rPr>
          <w:color w:val="555555"/>
          <w:sz w:val="22"/>
          <w:szCs w:val="22"/>
        </w:rPr>
        <w:t xml:space="preserve">Global trade flows — top exporters and importers by volume and value, 5-year trend</w:t>
      </w:r>
    </w:p>
    <w:p>
      <w:pPr>
        <w:pStyle w:val="ListParagraph"/>
        <w:numPr>
          <w:ilvl w:val="0"/>
          <w:numId w:val="2"/>
        </w:numPr>
        <w:spacing w:after="40" w:before="40"/>
      </w:pPr>
      <w:r>
        <w:rPr>
          <w:color w:val="555555"/>
          <w:sz w:val="22"/>
          <w:szCs w:val="22"/>
        </w:rPr>
        <w:t xml:space="preserve">Price trend analysis — average unit values by trade route, high/low price corridors by origin</w:t>
      </w:r>
    </w:p>
    <w:p>
      <w:pPr>
        <w:pStyle w:val="ListParagraph"/>
        <w:numPr>
          <w:ilvl w:val="0"/>
          <w:numId w:val="2"/>
        </w:numPr>
        <w:spacing w:after="40" w:before="40"/>
      </w:pPr>
      <w:r>
        <w:rPr>
          <w:color w:val="555555"/>
          <w:sz w:val="22"/>
          <w:szCs w:val="22"/>
        </w:rPr>
        <w:t xml:space="preserve">Market concentration — Herfindahl-Hirschman Index for supply and demand sides, with concentration-risk commentary</w:t>
      </w:r>
    </w:p>
    <w:p>
      <w:pPr>
        <w:pStyle w:val="ListParagraph"/>
        <w:numPr>
          <w:ilvl w:val="0"/>
          <w:numId w:val="2"/>
        </w:numPr>
        <w:spacing w:after="40" w:before="40"/>
      </w:pPr>
      <w:r>
        <w:rPr>
          <w:color w:val="555555"/>
          <w:sz w:val="22"/>
          <w:szCs w:val="22"/>
        </w:rPr>
        <w:t xml:space="preserve">Trade growth — fastest-growing import markets, emerging corridors</w:t>
      </w:r>
    </w:p>
    <w:p>
      <w:pPr>
        <w:pStyle w:val="ListParagraph"/>
        <w:numPr>
          <w:ilvl w:val="0"/>
          <w:numId w:val="2"/>
        </w:numPr>
        <w:spacing w:after="40" w:before="40"/>
      </w:pPr>
      <w:r>
        <w:rPr>
          <w:color w:val="555555"/>
          <w:sz w:val="22"/>
          <w:szCs w:val="22"/>
        </w:rPr>
        <w:t xml:space="preserve">Tariff landscape — MFN rates in key markets, active FTAs, ADD/CVD duty cases</w:t>
      </w:r>
    </w:p>
    <w:p>
      <w:pPr>
        <w:pStyle w:val="ListParagraph"/>
        <w:numPr>
          <w:ilvl w:val="0"/>
          <w:numId w:val="2"/>
        </w:numPr>
        <w:spacing w:after="40" w:before="40"/>
      </w:pPr>
      <w:r>
        <w:rPr>
          <w:color w:val="555555"/>
          <w:sz w:val="22"/>
          <w:szCs w:val="22"/>
        </w:rPr>
        <w:t xml:space="preserve">Regulatory overview — key standards and certifications by major importing region</w:t>
      </w:r>
    </w:p>
    <w:p>
      <w:pPr>
        <w:pStyle w:val="ListParagraph"/>
        <w:numPr>
          <w:ilvl w:val="0"/>
          <w:numId w:val="2"/>
        </w:numPr>
        <w:spacing w:after="40" w:before="40"/>
      </w:pPr>
      <w:r>
        <w:rPr>
          <w:color w:val="555555"/>
          <w:sz w:val="22"/>
          <w:szCs w:val="22"/>
        </w:rPr>
        <w:t xml:space="preserve">Analyst outlook — supply-chain risks, geopolitical factors, demand drivers</w:t>
      </w:r>
    </w:p>
    <w:p>
      <w:pPr>
        <w:pStyle w:val="ListParagraph"/>
        <w:numPr>
          <w:ilvl w:val="0"/>
          <w:numId w:val="2"/>
        </w:numPr>
        <w:spacing w:after="40" w:before="40"/>
      </w:pPr>
      <w:r>
        <w:rPr>
          <w:color w:val="555555"/>
          <w:sz w:val="22"/>
          <w:szCs w:val="22"/>
        </w:rPr>
        <w:t xml:space="preserve">Methodology appendix and full source citations</w:t>
      </w:r>
    </w:p>
    <w:p>
      <w:pPr>
        <w:pStyle w:val="ListParagraph"/>
        <w:numPr>
          <w:ilvl w:val="0"/>
          <w:numId w:val="2"/>
        </w:numPr>
        <w:spacing w:after="40" w:before="40"/>
      </w:pPr>
      <w:r>
        <w:rPr>
          <w:color w:val="555555"/>
          <w:sz w:val="22"/>
          <w:szCs w:val="22"/>
        </w:rPr>
        <w:t xml:space="preserve">Single-organisation licence</w:t>
      </w:r>
    </w:p>
    <w:p>
      <w:pPr>
        <w:pStyle w:val="Heading3"/>
      </w:pPr>
      <w:r>
        <w:t xml:space="preserve">When to commission MR-005</w:t>
      </w:r>
    </w:p>
    <w:p>
      <w:pPr>
        <w:pStyle w:val="ListParagraph"/>
        <w:numPr>
          <w:ilvl w:val="0"/>
          <w:numId w:val="2"/>
        </w:numPr>
        <w:spacing w:after="40" w:before="40"/>
      </w:pPr>
      <w:r>
        <w:rPr>
          <w:color w:val="555555"/>
          <w:sz w:val="22"/>
          <w:szCs w:val="22"/>
        </w:rPr>
        <w:t xml:space="preserve">You’re scoping global opportunity before picking a country</w:t>
      </w:r>
    </w:p>
    <w:p>
      <w:pPr>
        <w:pStyle w:val="ListParagraph"/>
        <w:numPr>
          <w:ilvl w:val="0"/>
          <w:numId w:val="2"/>
        </w:numPr>
        <w:spacing w:after="40" w:before="40"/>
      </w:pPr>
      <w:r>
        <w:rPr>
          <w:color w:val="555555"/>
          <w:sz w:val="22"/>
          <w:szCs w:val="22"/>
        </w:rPr>
        <w:t xml:space="preserve">You’re a strategic-sourcing team mapping global supply</w:t>
      </w:r>
    </w:p>
    <w:p>
      <w:pPr>
        <w:pStyle w:val="ListParagraph"/>
        <w:numPr>
          <w:ilvl w:val="0"/>
          <w:numId w:val="2"/>
        </w:numPr>
        <w:spacing w:after="40" w:before="40"/>
      </w:pPr>
      <w:r>
        <w:rPr>
          <w:color w:val="555555"/>
          <w:sz w:val="22"/>
          <w:szCs w:val="22"/>
        </w:rPr>
        <w:t xml:space="preserve">You’re an investor looking at sector-level flow before geography</w:t>
      </w:r>
    </w:p>
    <w:p>
      <w:pPr>
        <w:pStyle w:val="ListParagraph"/>
        <w:numPr>
          <w:ilvl w:val="0"/>
          <w:numId w:val="2"/>
        </w:numPr>
        <w:spacing w:after="40" w:before="40"/>
      </w:pPr>
      <w:r>
        <w:rPr>
          <w:color w:val="555555"/>
          <w:sz w:val="22"/>
          <w:szCs w:val="22"/>
        </w:rPr>
        <w:t xml:space="preserve">You want the global scan before commissioning a country-deep MR-001</w:t>
      </w:r>
    </w:p>
    <w:p>
      <w:pPr>
        <w:pBdr>
          <w:bottom w:val="single" w:color="E8A020" w:sz="6" w:space="1"/>
        </w:pBdr>
        <w:spacing w:after="200" w:before="200"/>
      </w:pPr>
    </w:p>
    <w:p>
      <w:pPr>
        <w:pStyle w:val="Heading1"/>
      </w:pPr>
      <w:r>
        <w:t xml:space="preserve">MR-006 — US Trade Intelligence Report ✦ NEW</w:t>
      </w:r>
    </w:p>
    <w:p>
      <w:pPr>
        <w:spacing w:after="240" w:before="80"/>
      </w:pPr>
      <w:r>
        <w:rPr>
          <w:b/>
          <w:bCs/>
          <w:color w:val="E8A020"/>
          <w:sz w:val="24"/>
          <w:szCs w:val="24"/>
        </w:rPr>
        <w:t xml:space="preserve">MR-006  ·  Pricing TBD  ·  Delivery TBD  ·  New product</w:t>
      </w:r>
    </w:p>
    <w:p>
      <w:pPr>
        <w:spacing w:after="120" w:before="80"/>
      </w:pPr>
      <w:r>
        <w:rPr>
          <w:color w:val="555555"/>
          <w:sz w:val="22"/>
          <w:szCs w:val="22"/>
        </w:rPr>
        <w:t xml:space="preserve">The decision: “Specifically for the US — who’s importing what, from where, and at what price?”</w:t>
      </w:r>
    </w:p>
    <w:p>
      <w:pPr>
        <w:spacing w:after="120" w:before="80"/>
      </w:pPr>
      <w:r>
        <w:rPr>
          <w:color w:val="555555"/>
          <w:sz w:val="22"/>
          <w:szCs w:val="22"/>
        </w:rPr>
        <w:t xml:space="preserve">A US-focused trade-intelligence report combining official US Census Bureau Foreign Trade statistics with ICTTM transaction-level customs and bill-of-lading data. Census gives authoritative totals; transaction data adds company-level granularity — which US companies are importing the product, and from which foreign suppliers.</w:t>
      </w:r>
    </w:p>
    <w:p>
      <w:pPr>
        <w:pStyle w:val="Heading3"/>
      </w:pPr>
      <w:r>
        <w:t xml:space="preserve">You configure</w:t>
      </w:r>
    </w:p>
    <w:p>
      <w:pPr>
        <w:pStyle w:val="ListParagraph"/>
        <w:numPr>
          <w:ilvl w:val="0"/>
          <w:numId w:val="2"/>
        </w:numPr>
        <w:spacing w:after="40" w:before="40"/>
      </w:pPr>
      <w:r>
        <w:rPr>
          <w:color w:val="555555"/>
          <w:sz w:val="22"/>
          <w:szCs w:val="22"/>
        </w:rPr>
        <w:t xml:space="preserve">HS code (one)</w:t>
      </w:r>
    </w:p>
    <w:p>
      <w:pPr>
        <w:pStyle w:val="ListParagraph"/>
        <w:numPr>
          <w:ilvl w:val="0"/>
          <w:numId w:val="2"/>
        </w:numPr>
        <w:spacing w:after="40" w:before="40"/>
      </w:pPr>
      <w:r>
        <w:rPr>
          <w:color w:val="555555"/>
          <w:sz w:val="22"/>
          <w:szCs w:val="22"/>
        </w:rPr>
        <w:t xml:space="preserve">Trade direction: imports / exports / both</w:t>
      </w:r>
    </w:p>
    <w:p>
      <w:pPr>
        <w:pStyle w:val="ListParagraph"/>
        <w:numPr>
          <w:ilvl w:val="0"/>
          <w:numId w:val="2"/>
        </w:numPr>
        <w:spacing w:after="40" w:before="40"/>
      </w:pPr>
      <w:r>
        <w:rPr>
          <w:color w:val="555555"/>
          <w:sz w:val="22"/>
          <w:szCs w:val="22"/>
        </w:rPr>
        <w:t xml:space="preserve">Time period (default: last 12 months)</w:t>
      </w:r>
    </w:p>
    <w:p>
      <w:pPr>
        <w:pStyle w:val="Heading3"/>
      </w:pPr>
      <w:r>
        <w:t xml:space="preserve">What you get in the PDF</w:t>
      </w:r>
    </w:p>
    <w:p>
      <w:pPr>
        <w:pStyle w:val="ListParagraph"/>
        <w:numPr>
          <w:ilvl w:val="0"/>
          <w:numId w:val="2"/>
        </w:numPr>
        <w:spacing w:after="40" w:before="40"/>
      </w:pPr>
      <w:r>
        <w:rPr>
          <w:color w:val="555555"/>
          <w:sz w:val="22"/>
          <w:szCs w:val="22"/>
        </w:rPr>
        <w:t xml:space="preserve">US import and export volumes and values — monthly trend, MoM, YoY</w:t>
      </w:r>
    </w:p>
    <w:p>
      <w:pPr>
        <w:pStyle w:val="ListParagraph"/>
        <w:numPr>
          <w:ilvl w:val="0"/>
          <w:numId w:val="2"/>
        </w:numPr>
        <w:spacing w:after="40" w:before="40"/>
      </w:pPr>
      <w:r>
        <w:rPr>
          <w:color w:val="555555"/>
          <w:sz w:val="22"/>
          <w:szCs w:val="22"/>
        </w:rPr>
        <w:t xml:space="preserve">Top origin/destination countries ranked by volume and value</w:t>
      </w:r>
    </w:p>
    <w:p>
      <w:pPr>
        <w:pStyle w:val="ListParagraph"/>
        <w:numPr>
          <w:ilvl w:val="0"/>
          <w:numId w:val="2"/>
        </w:numPr>
        <w:spacing w:after="40" w:before="40"/>
      </w:pPr>
      <w:r>
        <w:rPr>
          <w:color w:val="555555"/>
          <w:sz w:val="22"/>
          <w:szCs w:val="22"/>
        </w:rPr>
        <w:t xml:space="preserve">Top US importing companies and top foreign suppliers (transaction-level)</w:t>
      </w:r>
    </w:p>
    <w:p>
      <w:pPr>
        <w:pStyle w:val="ListParagraph"/>
        <w:numPr>
          <w:ilvl w:val="0"/>
          <w:numId w:val="2"/>
        </w:numPr>
        <w:spacing w:after="40" w:before="40"/>
      </w:pPr>
      <w:r>
        <w:rPr>
          <w:color w:val="555555"/>
          <w:sz w:val="22"/>
          <w:szCs w:val="22"/>
        </w:rPr>
        <w:t xml:space="preserve">Port-level data: leading US ports of entry by volume</w:t>
      </w:r>
    </w:p>
    <w:p>
      <w:pPr>
        <w:pStyle w:val="ListParagraph"/>
        <w:numPr>
          <w:ilvl w:val="0"/>
          <w:numId w:val="2"/>
        </w:numPr>
        <w:spacing w:after="40" w:before="40"/>
      </w:pPr>
      <w:r>
        <w:rPr>
          <w:color w:val="555555"/>
          <w:sz w:val="22"/>
          <w:szCs w:val="22"/>
        </w:rPr>
        <w:t xml:space="preserve">Price analysis: average unit value vs. global benchmark</w:t>
      </w:r>
    </w:p>
    <w:p>
      <w:pPr>
        <w:pStyle w:val="ListParagraph"/>
        <w:numPr>
          <w:ilvl w:val="0"/>
          <w:numId w:val="2"/>
        </w:numPr>
        <w:spacing w:after="40" w:before="40"/>
      </w:pPr>
      <w:r>
        <w:rPr>
          <w:color w:val="555555"/>
          <w:sz w:val="22"/>
          <w:szCs w:val="22"/>
        </w:rPr>
        <w:t xml:space="preserve">Section 301 tariff impact analysis where applicable</w:t>
      </w:r>
    </w:p>
    <w:p>
      <w:pPr>
        <w:pStyle w:val="ListParagraph"/>
        <w:numPr>
          <w:ilvl w:val="0"/>
          <w:numId w:val="2"/>
        </w:numPr>
        <w:spacing w:after="40" w:before="40"/>
      </w:pPr>
      <w:r>
        <w:rPr>
          <w:color w:val="555555"/>
          <w:sz w:val="22"/>
          <w:szCs w:val="22"/>
        </w:rPr>
        <w:t xml:space="preserve">Trade balance: US net position, 5-year trend</w:t>
      </w:r>
    </w:p>
    <w:p>
      <w:pPr>
        <w:pStyle w:val="ListParagraph"/>
        <w:numPr>
          <w:ilvl w:val="0"/>
          <w:numId w:val="2"/>
        </w:numPr>
        <w:spacing w:after="40" w:before="40"/>
      </w:pPr>
      <w:r>
        <w:rPr>
          <w:color w:val="555555"/>
          <w:sz w:val="22"/>
          <w:szCs w:val="22"/>
        </w:rPr>
        <w:t xml:space="preserve">Analyst commentary and outlook</w:t>
      </w:r>
    </w:p>
    <w:p>
      <w:pPr>
        <w:pStyle w:val="ListParagraph"/>
        <w:numPr>
          <w:ilvl w:val="0"/>
          <w:numId w:val="2"/>
        </w:numPr>
        <w:spacing w:after="40" w:before="40"/>
      </w:pPr>
      <w:r>
        <w:rPr>
          <w:color w:val="555555"/>
          <w:sz w:val="22"/>
          <w:szCs w:val="22"/>
        </w:rPr>
        <w:t xml:space="preserve">Methodology appendix and full source citations</w:t>
      </w:r>
    </w:p>
    <w:p>
      <w:pPr>
        <w:pStyle w:val="ListParagraph"/>
        <w:numPr>
          <w:ilvl w:val="0"/>
          <w:numId w:val="2"/>
        </w:numPr>
        <w:spacing w:after="40" w:before="40"/>
      </w:pPr>
      <w:r>
        <w:rPr>
          <w:color w:val="555555"/>
          <w:sz w:val="22"/>
          <w:szCs w:val="22"/>
        </w:rPr>
        <w:t xml:space="preserve">Single-organisation licence</w:t>
      </w:r>
    </w:p>
    <w:p>
      <w:pPr>
        <w:pStyle w:val="Heading3"/>
      </w:pPr>
      <w:r>
        <w:t xml:space="preserve">Why this report is data-intensive</w:t>
      </w:r>
    </w:p>
    <w:p>
      <w:pPr>
        <w:spacing w:after="120" w:before="80"/>
      </w:pPr>
      <w:r>
        <w:rPr>
          <w:color w:val="555555"/>
          <w:sz w:val="22"/>
          <w:szCs w:val="22"/>
        </w:rPr>
        <w:t xml:space="preserve">The US is one of very few markets where both official statistics (Census Bureau) AND transaction-level customs / BoL data are publicly available. MR-006 layers both: Census for authoritative totals plus transaction data for company-level granularity. No other country allows that depth from public sources.</w:t>
      </w:r>
    </w:p>
    <w:p>
      <w:pPr>
        <w:pStyle w:val="Heading3"/>
      </w:pPr>
      <w:r>
        <w:t xml:space="preserve">When to commission MR-006</w:t>
      </w:r>
    </w:p>
    <w:p>
      <w:pPr>
        <w:pStyle w:val="ListParagraph"/>
        <w:numPr>
          <w:ilvl w:val="0"/>
          <w:numId w:val="2"/>
        </w:numPr>
        <w:spacing w:after="40" w:before="40"/>
      </w:pPr>
      <w:r>
        <w:rPr>
          <w:color w:val="555555"/>
          <w:sz w:val="22"/>
          <w:szCs w:val="22"/>
        </w:rPr>
        <w:t xml:space="preserve">You’re a foreign exporter targeting the US market</w:t>
      </w:r>
    </w:p>
    <w:p>
      <w:pPr>
        <w:pStyle w:val="ListParagraph"/>
        <w:numPr>
          <w:ilvl w:val="0"/>
          <w:numId w:val="2"/>
        </w:numPr>
        <w:spacing w:after="40" w:before="40"/>
      </w:pPr>
      <w:r>
        <w:rPr>
          <w:color w:val="555555"/>
          <w:sz w:val="22"/>
          <w:szCs w:val="22"/>
        </w:rPr>
        <w:t xml:space="preserve">You’re a US importer benchmarking sourcing costs against competitors</w:t>
      </w:r>
    </w:p>
    <w:p>
      <w:pPr>
        <w:pStyle w:val="ListParagraph"/>
        <w:numPr>
          <w:ilvl w:val="0"/>
          <w:numId w:val="2"/>
        </w:numPr>
        <w:spacing w:after="40" w:before="40"/>
      </w:pPr>
      <w:r>
        <w:rPr>
          <w:color w:val="555555"/>
          <w:sz w:val="22"/>
          <w:szCs w:val="22"/>
        </w:rPr>
        <w:t xml:space="preserve">You’re a US manufacturer assessing import competition</w:t>
      </w:r>
    </w:p>
    <w:p>
      <w:pPr>
        <w:pStyle w:val="ListParagraph"/>
        <w:numPr>
          <w:ilvl w:val="0"/>
          <w:numId w:val="2"/>
        </w:numPr>
        <w:spacing w:after="40" w:before="40"/>
      </w:pPr>
      <w:r>
        <w:rPr>
          <w:color w:val="555555"/>
          <w:sz w:val="22"/>
          <w:szCs w:val="22"/>
        </w:rPr>
        <w:t xml:space="preserve">You’re a trade attorney working on a Section 301 case</w:t>
      </w:r>
    </w:p>
    <w:p>
      <w:pPr>
        <w:pStyle w:val="ListParagraph"/>
        <w:numPr>
          <w:ilvl w:val="0"/>
          <w:numId w:val="2"/>
        </w:numPr>
        <w:spacing w:after="40" w:before="40"/>
      </w:pPr>
      <w:r>
        <w:rPr>
          <w:color w:val="555555"/>
          <w:sz w:val="22"/>
          <w:szCs w:val="22"/>
        </w:rPr>
        <w:t xml:space="preserve">You’re a government body monitoring US market access</w:t>
      </w:r>
    </w:p>
    <w:p>
      <w:pPr>
        <w:pStyle w:val="Heading3"/>
      </w:pPr>
      <w:r>
        <w:t xml:space="preserve">MR-006 vs. MR-001</w:t>
      </w:r>
    </w:p>
    <w:p>
      <w:pPr>
        <w:spacing w:after="120" w:before="80"/>
      </w:pPr>
      <w:r>
        <w:rPr>
          <w:color w:val="555555"/>
          <w:sz w:val="22"/>
          <w:szCs w:val="22"/>
        </w:rPr>
        <w:t xml:space="preserve">MR-006 is US-specific and data-intensive — it answers “who is trading this product in the US and at what volumes and prices?” MR-001 is the deeper analyst engagement covering market-entry strategy, competitive landscape, barriers, and go-to-market — for ANY country including the US. A buyer who reads MR-006 and wants the full US market-entry strategy commissions MR-001 next.</w:t>
      </w:r>
    </w:p>
    <w:p>
      <w:pPr>
        <w:pBdr>
          <w:bottom w:val="single" w:color="E8A020" w:sz="6" w:space="1"/>
        </w:pBdr>
        <w:spacing w:after="200" w:before="200"/>
      </w:pPr>
    </w:p>
    <w:p>
      <w:pPr>
        <w:pStyle w:val="Heading1"/>
      </w:pPr>
      <w:r>
        <w:t xml:space="preserve">SF-001 — EU Seafood Trade Report ✦ NEW</w:t>
      </w:r>
    </w:p>
    <w:p>
      <w:pPr>
        <w:spacing w:after="240" w:before="80"/>
      </w:pPr>
      <w:r>
        <w:rPr>
          <w:b/>
          <w:bCs/>
          <w:color w:val="E8A020"/>
          <w:sz w:val="24"/>
          <w:szCs w:val="24"/>
        </w:rPr>
        <w:t xml:space="preserve">SF-001  ·  Pricing TBD  ·  Delivery TBD  ·  Specialist regional report</w:t>
      </w:r>
    </w:p>
    <w:p>
      <w:pPr>
        <w:spacing w:after="120" w:before="80"/>
      </w:pPr>
      <w:r>
        <w:rPr>
          <w:color w:val="555555"/>
          <w:sz w:val="22"/>
          <w:szCs w:val="22"/>
        </w:rPr>
        <w:t xml:space="preserve">The decision: “How is this seafood species moving into the EU this week, at what price, from which origin?”</w:t>
      </w:r>
    </w:p>
    <w:p>
      <w:pPr>
        <w:pStyle w:val="Heading3"/>
      </w:pPr>
      <w:r>
        <w:t xml:space="preserve">Why this report is unique</w:t>
      </w:r>
    </w:p>
    <w:p>
      <w:pPr>
        <w:spacing w:after="120" w:before="80"/>
      </w:pPr>
      <w:r>
        <w:rPr>
          <w:color w:val="555555"/>
          <w:sz w:val="22"/>
          <w:szCs w:val="22"/>
        </w:rPr>
        <w:t xml:space="preserve">EU Taxud tracks EU seafood imports at weekly frequency, broken down by species, country of origin, and EU member state of import. Most official trade statistics are monthly or quarterly and published with a 2–3 month lag. Taxud data is typically available within days of the reference week.</w:t>
      </w:r>
    </w:p>
    <w:p>
      <w:pPr>
        <w:spacing w:after="120" w:before="80"/>
      </w:pPr>
      <w:r>
        <w:rPr>
          <w:color w:val="555555"/>
          <w:sz w:val="22"/>
          <w:szCs w:val="22"/>
        </w:rPr>
        <w:t xml:space="preserve">For seafood markets where prices move weekly, that frequency changes the entire game. There is no global or single-country structured product that delivers what weekly Taxud delivers for EU seafood — which is why SF-001 is the lone regional exception to Ponte’s “global OR one country” rule.</w:t>
      </w:r>
    </w:p>
    <w:p>
      <w:pPr>
        <w:pStyle w:val="Heading3"/>
      </w:pPr>
      <w:r>
        <w:t xml:space="preserve">You configure</w:t>
      </w:r>
    </w:p>
    <w:p>
      <w:pPr>
        <w:pStyle w:val="ListParagraph"/>
        <w:numPr>
          <w:ilvl w:val="0"/>
          <w:numId w:val="2"/>
        </w:numPr>
        <w:spacing w:after="40" w:before="40"/>
      </w:pPr>
      <w:r>
        <w:rPr>
          <w:color w:val="555555"/>
          <w:sz w:val="22"/>
          <w:szCs w:val="22"/>
        </w:rPr>
        <w:t xml:space="preserve">Seafood species or HS code within Chapter 03, 1604, or 1605</w:t>
      </w:r>
    </w:p>
    <w:p>
      <w:pPr>
        <w:pStyle w:val="ListParagraph"/>
        <w:numPr>
          <w:ilvl w:val="0"/>
          <w:numId w:val="2"/>
        </w:numPr>
        <w:spacing w:after="40" w:before="40"/>
      </w:pPr>
      <w:r>
        <w:rPr>
          <w:color w:val="555555"/>
          <w:sz w:val="22"/>
          <w:szCs w:val="22"/>
        </w:rPr>
        <w:t xml:space="preserve">Reference week</w:t>
      </w:r>
    </w:p>
    <w:p>
      <w:pPr>
        <w:pStyle w:val="ListParagraph"/>
        <w:numPr>
          <w:ilvl w:val="0"/>
          <w:numId w:val="2"/>
        </w:numPr>
        <w:spacing w:after="40" w:before="40"/>
      </w:pPr>
      <w:r>
        <w:rPr>
          <w:color w:val="555555"/>
          <w:sz w:val="22"/>
          <w:szCs w:val="22"/>
        </w:rPr>
        <w:t xml:space="preserve">Comparison period: prior week / same week prior year / YTD vs prior year</w:t>
      </w:r>
    </w:p>
    <w:p>
      <w:pPr>
        <w:pStyle w:val="Heading3"/>
      </w:pPr>
      <w:r>
        <w:t xml:space="preserve">What you get in the PDF</w:t>
      </w:r>
    </w:p>
    <w:p>
      <w:pPr>
        <w:pStyle w:val="ListParagraph"/>
        <w:numPr>
          <w:ilvl w:val="0"/>
          <w:numId w:val="2"/>
        </w:numPr>
        <w:spacing w:after="40" w:before="40"/>
      </w:pPr>
      <w:r>
        <w:rPr>
          <w:color w:val="555555"/>
          <w:sz w:val="22"/>
          <w:szCs w:val="22"/>
        </w:rPr>
        <w:t xml:space="preserve">Weekly import volumes and values by species and EU member state</w:t>
      </w:r>
    </w:p>
    <w:p>
      <w:pPr>
        <w:pStyle w:val="ListParagraph"/>
        <w:numPr>
          <w:ilvl w:val="0"/>
          <w:numId w:val="2"/>
        </w:numPr>
        <w:spacing w:after="40" w:before="40"/>
      </w:pPr>
      <w:r>
        <w:rPr>
          <w:color w:val="555555"/>
          <w:sz w:val="22"/>
          <w:szCs w:val="22"/>
        </w:rPr>
        <w:t xml:space="preserve">Top origin countries by species: market share, trend, emerging suppliers</w:t>
      </w:r>
    </w:p>
    <w:p>
      <w:pPr>
        <w:pStyle w:val="ListParagraph"/>
        <w:numPr>
          <w:ilvl w:val="0"/>
          <w:numId w:val="2"/>
        </w:numPr>
        <w:spacing w:after="40" w:before="40"/>
      </w:pPr>
      <w:r>
        <w:rPr>
          <w:color w:val="555555"/>
          <w:sz w:val="22"/>
          <w:szCs w:val="22"/>
        </w:rPr>
        <w:t xml:space="preserve">Average landed price per kg by species and origin — weekly movements and seasonal pattern</w:t>
      </w:r>
    </w:p>
    <w:p>
      <w:pPr>
        <w:pStyle w:val="ListParagraph"/>
        <w:numPr>
          <w:ilvl w:val="0"/>
          <w:numId w:val="2"/>
        </w:numPr>
        <w:spacing w:after="40" w:before="40"/>
      </w:pPr>
      <w:r>
        <w:rPr>
          <w:color w:val="555555"/>
          <w:sz w:val="22"/>
          <w:szCs w:val="22"/>
        </w:rPr>
        <w:t xml:space="preserve">Year-over-year and week-on-week volume and price comparison</w:t>
      </w:r>
    </w:p>
    <w:p>
      <w:pPr>
        <w:pStyle w:val="ListParagraph"/>
        <w:numPr>
          <w:ilvl w:val="0"/>
          <w:numId w:val="2"/>
        </w:numPr>
        <w:spacing w:after="40" w:before="40"/>
      </w:pPr>
      <w:r>
        <w:rPr>
          <w:color w:val="555555"/>
          <w:sz w:val="22"/>
          <w:szCs w:val="22"/>
        </w:rPr>
        <w:t xml:space="preserve">Tariff and TRQ (Tariff Rate Quota) utilisation rates by species and origin</w:t>
      </w:r>
    </w:p>
    <w:p>
      <w:pPr>
        <w:pStyle w:val="ListParagraph"/>
        <w:numPr>
          <w:ilvl w:val="0"/>
          <w:numId w:val="2"/>
        </w:numPr>
        <w:spacing w:after="40" w:before="40"/>
      </w:pPr>
      <w:r>
        <w:rPr>
          <w:color w:val="555555"/>
          <w:sz w:val="22"/>
          <w:szCs w:val="22"/>
        </w:rPr>
        <w:t xml:space="preserve">Supply-chain alerts: volume spikes, price anomalies, new entrants</w:t>
      </w:r>
    </w:p>
    <w:p>
      <w:pPr>
        <w:pStyle w:val="ListParagraph"/>
        <w:numPr>
          <w:ilvl w:val="0"/>
          <w:numId w:val="2"/>
        </w:numPr>
        <w:spacing w:after="40" w:before="40"/>
      </w:pPr>
      <w:r>
        <w:rPr>
          <w:color w:val="555555"/>
          <w:sz w:val="22"/>
          <w:szCs w:val="22"/>
        </w:rPr>
        <w:t xml:space="preserve">Senior-analyst commentary</w:t>
      </w:r>
    </w:p>
    <w:p>
      <w:pPr>
        <w:pStyle w:val="ListParagraph"/>
        <w:numPr>
          <w:ilvl w:val="0"/>
          <w:numId w:val="2"/>
        </w:numPr>
        <w:spacing w:after="40" w:before="40"/>
      </w:pPr>
      <w:r>
        <w:rPr>
          <w:color w:val="555555"/>
          <w:sz w:val="22"/>
          <w:szCs w:val="22"/>
        </w:rPr>
        <w:t xml:space="preserve">Methodology appendix and full source citations</w:t>
      </w:r>
    </w:p>
    <w:p>
      <w:pPr>
        <w:pStyle w:val="ListParagraph"/>
        <w:numPr>
          <w:ilvl w:val="0"/>
          <w:numId w:val="2"/>
        </w:numPr>
        <w:spacing w:after="40" w:before="40"/>
      </w:pPr>
      <w:r>
        <w:rPr>
          <w:color w:val="555555"/>
          <w:sz w:val="22"/>
          <w:szCs w:val="22"/>
        </w:rPr>
        <w:t xml:space="preserve">Single-organisation licence</w:t>
      </w:r>
    </w:p>
    <w:p>
      <w:pPr>
        <w:pStyle w:val="Heading3"/>
      </w:pPr>
      <w:r>
        <w:t xml:space="preserve">When to commission SF-001</w:t>
      </w:r>
    </w:p>
    <w:p>
      <w:pPr>
        <w:pStyle w:val="ListParagraph"/>
        <w:numPr>
          <w:ilvl w:val="0"/>
          <w:numId w:val="2"/>
        </w:numPr>
        <w:spacing w:after="40" w:before="40"/>
      </w:pPr>
      <w:r>
        <w:rPr>
          <w:color w:val="555555"/>
          <w:sz w:val="22"/>
          <w:szCs w:val="22"/>
        </w:rPr>
        <w:t xml:space="preserve">You’re an EU seafood importer monitoring competitor sourcing</w:t>
      </w:r>
    </w:p>
    <w:p>
      <w:pPr>
        <w:pStyle w:val="ListParagraph"/>
        <w:numPr>
          <w:ilvl w:val="0"/>
          <w:numId w:val="2"/>
        </w:numPr>
        <w:spacing w:after="40" w:before="40"/>
      </w:pPr>
      <w:r>
        <w:rPr>
          <w:color w:val="555555"/>
          <w:sz w:val="22"/>
          <w:szCs w:val="22"/>
        </w:rPr>
        <w:t xml:space="preserve">You’re an exporter to the EU tracking landed-price benchmarks</w:t>
      </w:r>
    </w:p>
    <w:p>
      <w:pPr>
        <w:pStyle w:val="ListParagraph"/>
        <w:numPr>
          <w:ilvl w:val="0"/>
          <w:numId w:val="2"/>
        </w:numPr>
        <w:spacing w:after="40" w:before="40"/>
      </w:pPr>
      <w:r>
        <w:rPr>
          <w:color w:val="555555"/>
          <w:sz w:val="22"/>
          <w:szCs w:val="22"/>
        </w:rPr>
        <w:t xml:space="preserve">You’re a seafood trader managing price risk on weekly cycles</w:t>
      </w:r>
    </w:p>
    <w:p>
      <w:pPr>
        <w:pStyle w:val="ListParagraph"/>
        <w:numPr>
          <w:ilvl w:val="0"/>
          <w:numId w:val="2"/>
        </w:numPr>
        <w:spacing w:after="40" w:before="40"/>
      </w:pPr>
      <w:r>
        <w:rPr>
          <w:color w:val="555555"/>
          <w:sz w:val="22"/>
          <w:szCs w:val="22"/>
        </w:rPr>
        <w:t xml:space="preserve">You’re a bank underwriting seafood trade finance and need recent market data, not 3-month-old statistics</w:t>
      </w:r>
    </w:p>
    <w:p>
      <w:pPr>
        <w:pStyle w:val="ListParagraph"/>
        <w:numPr>
          <w:ilvl w:val="0"/>
          <w:numId w:val="2"/>
        </w:numPr>
        <w:spacing w:after="40" w:before="40"/>
      </w:pPr>
      <w:r>
        <w:rPr>
          <w:color w:val="555555"/>
          <w:sz w:val="22"/>
          <w:szCs w:val="22"/>
        </w:rPr>
        <w:t xml:space="preserve">You’re an industry association monitoring sector health</w:t>
      </w:r>
    </w:p>
    <w:p>
      <w:pPr>
        <w:pBdr>
          <w:bottom w:val="single" w:color="E8A020" w:sz="6" w:space="1"/>
        </w:pBdr>
        <w:spacing w:after="200" w:before="200"/>
      </w:pPr>
    </w:p>
    <w:p>
      <w:pPr>
        <w:pStyle w:val="Heading1"/>
      </w:pPr>
      <w:r>
        <w:t xml:space="preserve">Data sources across all four reports</w:t>
      </w:r>
    </w:p>
    <w:p>
      <w:pPr>
        <w:spacing w:after="120" w:before="80"/>
      </w:pPr>
      <w:r>
        <w:rPr>
          <w:color w:val="555555"/>
          <w:sz w:val="22"/>
          <w:szCs w:val="22"/>
        </w:rPr>
        <w:t xml:space="preserve">WITS (World Bank)  ·  UN Comtrade  ·  Eurostat (including Taxud weekly surveillance for SF-001)  ·  Statistics Canada  ·  US Census Bureau Foreign Trade Division  ·  ICTTM transaction-level customs and bill-of-lading data  ·  WTO Tariff Database  ·  OECD.</w:t>
      </w:r>
    </w:p>
    <w:p>
      <w:pPr>
        <w:spacing w:after="120" w:before="80"/>
      </w:pPr>
      <w:r>
        <w:rPr>
          <w:color w:val="555555"/>
          <w:sz w:val="22"/>
          <w:szCs w:val="22"/>
        </w:rPr>
        <w:t xml:space="preserve">Every figure in a Ponte Market Report is traceable to its official source. Our reports are built to withstand scrutiny — in trade-finance underwriting, legal proceedings, regulatory submissions, and investment decisions, the source of data matters as much as the data itself.</w:t>
      </w:r>
    </w:p>
    <w:p>
      <w:pPr>
        <w:pBdr>
          <w:bottom w:val="single" w:color="E8A020" w:sz="6" w:space="1"/>
        </w:pBdr>
        <w:spacing w:after="200" w:before="200"/>
      </w:pPr>
    </w:p>
    <w:p>
      <w:pPr>
        <w:pStyle w:val="Heading1"/>
      </w:pPr>
      <w:r>
        <w:t xml:space="preserve">What these reports are not</w:t>
      </w:r>
    </w:p>
    <w:p>
      <w:pPr>
        <w:spacing w:after="120" w:before="80"/>
      </w:pPr>
      <w:r>
        <w:rPr>
          <w:color w:val="555555"/>
          <w:sz w:val="22"/>
          <w:szCs w:val="22"/>
        </w:rPr>
        <w:t xml:space="preserve">Not data dashboards. Not API feeds. Not subscriptions. Not generic syndicated research downloads. Each Ponte Market Report is a senior-analyst-curated licensed PDF that answers a specific market question for a specific HS code, bought once.</w:t>
      </w:r>
    </w:p>
    <w:p>
      <w:pPr>
        <w:pBdr>
          <w:bottom w:val="single" w:color="E8A020" w:sz="6" w:space="1"/>
        </w:pBdr>
        <w:spacing w:after="200" w:before="200"/>
      </w:pPr>
    </w:p>
    <w:p>
      <w:pPr>
        <w:pStyle w:val="Heading1"/>
      </w:pPr>
      <w:r>
        <w:t xml:space="preserve">The Ponte competitive position</w:t>
      </w:r>
    </w:p>
    <w:p>
      <w:pPr>
        <w:spacing w:after="120" w:before="80"/>
      </w:pPr>
      <w:r>
        <w:rPr>
          <w:color w:val="555555"/>
          <w:sz w:val="22"/>
          <w:szCs w:val="22"/>
        </w:rPr>
        <w:t xml:space="preserve">The combination of official statistical data and transaction-level trade data, integrated by a senior analyst into a licensed PDF, is what distinguishes Ponte from both traditional market research providers and raw data vendors. Traditional providers give polished narrative but weak data foundations. Raw data vendors give granular data but no analytical framework. Ponte gives both — curated by an analyst, delivered as a single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Ponte Trade  ·  ponte.trade  ·  an ICTTM company  ·  Wave 4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2026-05-28T12:18:43.444Z</dcterms:created>
  <dcterms:modified xsi:type="dcterms:W3CDTF">2026-05-28T12:18:43.444Z</dcterms:modified>
</cp:coreProperties>
</file>

<file path=docProps/custom.xml><?xml version="1.0" encoding="utf-8"?>
<Properties xmlns="http://schemas.openxmlformats.org/officeDocument/2006/custom-properties" xmlns:vt="http://schemas.openxmlformats.org/officeDocument/2006/docPropsVTypes"/>
</file>