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АРБИТРАЖНЫЙ СУД РОСТОВСКОЙ ОБЛАСТИ</w:t>
      </w:r>
    </w:p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344 002 г. Ростов-на-Дону, ул. Станиславского, 10/11-13</w:t>
      </w:r>
    </w:p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  <w:lang w:val="en-US"/>
        </w:rPr>
        <w:t>http</w:t>
      </w:r>
      <w:r w:rsidRPr="00A87312">
        <w:rPr>
          <w:rFonts w:eastAsia="Times New Roman" w:cs="Times New Roman"/>
        </w:rPr>
        <w:t>://</w:t>
      </w:r>
      <w:r w:rsidRPr="00A87312">
        <w:rPr>
          <w:rFonts w:eastAsia="Times New Roman" w:cs="Times New Roman"/>
          <w:lang w:val="en-US"/>
        </w:rPr>
        <w:t>www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rostov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arbitr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ru</w:t>
      </w:r>
      <w:r w:rsidRPr="00A87312">
        <w:rPr>
          <w:rFonts w:eastAsia="Times New Roman" w:cs="Times New Roman"/>
        </w:rPr>
        <w:t>; е-</w:t>
      </w:r>
      <w:r w:rsidRPr="00A87312">
        <w:rPr>
          <w:rFonts w:eastAsia="Times New Roman" w:cs="Times New Roman"/>
          <w:lang w:val="en-US"/>
        </w:rPr>
        <w:t>mail</w:t>
      </w:r>
      <w:r w:rsidRPr="00A87312">
        <w:rPr>
          <w:rFonts w:eastAsia="Times New Roman" w:cs="Times New Roman"/>
        </w:rPr>
        <w:t xml:space="preserve">: </w:t>
      </w:r>
      <w:r w:rsidRPr="00A87312">
        <w:rPr>
          <w:rFonts w:eastAsia="Times New Roman" w:cs="Times New Roman"/>
          <w:lang w:val="en-US"/>
        </w:rPr>
        <w:t>info</w:t>
      </w:r>
      <w:r w:rsidRPr="00A87312">
        <w:rPr>
          <w:rFonts w:eastAsia="Times New Roman" w:cs="Times New Roman"/>
        </w:rPr>
        <w:t>@</w:t>
      </w:r>
      <w:r w:rsidRPr="00A87312">
        <w:rPr>
          <w:rFonts w:eastAsia="Times New Roman" w:cs="Times New Roman"/>
          <w:lang w:val="en-US"/>
        </w:rPr>
        <w:t>rostov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arbitr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ru</w:t>
      </w:r>
    </w:p>
    <w:p w:rsidR="00D97035" w:rsidRPr="00A87312" w:rsidRDefault="00D97035">
      <w:pPr>
        <w:spacing w:line="240" w:lineRule="auto"/>
        <w:contextualSpacing/>
        <w:jc w:val="center"/>
        <w:rPr>
          <w:rFonts w:cs="Times New Roman"/>
        </w:rPr>
      </w:pPr>
    </w:p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ОПРЕДЕЛЕНИЕ</w:t>
      </w:r>
    </w:p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о признании обоснованным заявления о признании гражданина банкротом и о</w:t>
      </w:r>
    </w:p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введении процедуры реструктуризации долгов гражданина</w:t>
      </w:r>
    </w:p>
    <w:p w:rsidR="00D97035" w:rsidRPr="00A87312" w:rsidRDefault="00D97035">
      <w:pPr>
        <w:spacing w:line="240" w:lineRule="auto"/>
        <w:contextualSpacing/>
        <w:jc w:val="center"/>
        <w:rPr>
          <w:rFonts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97035" w:rsidRPr="00A87312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97035" w:rsidRPr="00A87312" w:rsidRDefault="00D40F2D">
            <w:pPr>
              <w:contextualSpacing/>
              <w:jc w:val="both"/>
              <w:rPr>
                <w:rFonts w:cs="Times New Roman"/>
              </w:rPr>
            </w:pPr>
            <w:r w:rsidRPr="00A87312">
              <w:rPr>
                <w:rFonts w:eastAsia="Times New Roman" w:cs="Times New Roman"/>
              </w:rPr>
              <w:t>г. Ростов-на-Дону</w:t>
            </w:r>
          </w:p>
          <w:p w:rsidR="00D97035" w:rsidRPr="00A87312" w:rsidRDefault="00463873">
            <w:pPr>
              <w:contextualSpacing/>
              <w:rPr>
                <w:rFonts w:cs="Times New Roman"/>
              </w:rPr>
            </w:pPr>
            <w:r w:rsidRPr="00A87312">
              <w:rPr>
                <w:rFonts w:eastAsia="Times New Roman" w:cs="Times New Roman"/>
                <w:lang w:val="en-US"/>
              </w:rPr>
              <w:t>[66]</w:t>
            </w:r>
            <w:r w:rsidRPr="00A87312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97035" w:rsidRPr="00A87312" w:rsidRDefault="00D97035">
            <w:pPr>
              <w:contextualSpacing/>
              <w:jc w:val="center"/>
              <w:rPr>
                <w:rFonts w:cs="Times New Roman"/>
              </w:rPr>
            </w:pPr>
          </w:p>
          <w:p w:rsidR="00D97035" w:rsidRPr="00A87312" w:rsidRDefault="00927832" w:rsidP="00463873">
            <w:pPr>
              <w:contextualSpacing/>
              <w:jc w:val="right"/>
              <w:rPr>
                <w:rFonts w:cs="Times New Roman"/>
                <w:lang w:val="en-US"/>
              </w:rPr>
            </w:pPr>
            <w:r w:rsidRPr="00A87312">
              <w:rPr>
                <w:rFonts w:eastAsia="Times New Roman" w:cs="Times New Roman"/>
              </w:rPr>
              <w:t xml:space="preserve"> Дело №</w:t>
            </w:r>
            <w:r w:rsidRPr="00A87312">
              <w:rPr>
                <w:rFonts w:eastAsia="Times New Roman" w:cs="Times New Roman"/>
                <w:lang w:val="en-US"/>
              </w:rPr>
              <w:t>[1]</w:t>
            </w:r>
          </w:p>
        </w:tc>
      </w:tr>
    </w:tbl>
    <w:p w:rsidR="00D97035" w:rsidRPr="00A87312" w:rsidRDefault="00D40F2D">
      <w:pPr>
        <w:spacing w:line="240" w:lineRule="auto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            </w:t>
      </w:r>
    </w:p>
    <w:p w:rsidR="00D97035" w:rsidRPr="00A87312" w:rsidRDefault="00D40F2D">
      <w:pPr>
        <w:spacing w:line="240" w:lineRule="auto"/>
        <w:ind w:firstLine="720"/>
        <w:contextualSpacing/>
        <w:jc w:val="both"/>
        <w:rPr>
          <w:rFonts w:cs="Times New Roman"/>
        </w:rPr>
      </w:pPr>
      <w:proofErr w:type="gramStart"/>
      <w:r w:rsidRPr="00A87312">
        <w:t xml:space="preserve">Арбитражный суд Ростовской области в составе судьи [415] , при ведении протокола судебного заседания помощником судьи [29], ознакомившись с заявлением публичного акционерного общества «[989]» (ОГРН </w:t>
      </w:r>
      <w:r w:rsidR="00A87312" w:rsidRPr="00A87312">
        <w:t>[990]</w:t>
      </w:r>
      <w:r w:rsidRPr="00A87312">
        <w:t xml:space="preserve">, ИНН </w:t>
      </w:r>
      <w:r w:rsidR="00A87312" w:rsidRPr="00A87312">
        <w:t>[991]</w:t>
      </w:r>
      <w:r w:rsidRPr="00A87312">
        <w:t xml:space="preserve">) о банкротстве </w:t>
      </w:r>
      <w:r w:rsidR="00A87312" w:rsidRPr="00A87312">
        <w:t>[2.1]</w:t>
      </w:r>
      <w:r w:rsidRPr="00A87312">
        <w:t xml:space="preserve"> (дата рождения: </w:t>
      </w:r>
      <w:r w:rsidR="00A87312" w:rsidRPr="00A87312">
        <w:t>[3]</w:t>
      </w:r>
      <w:r w:rsidRPr="00A87312">
        <w:t xml:space="preserve">,  ИНН </w:t>
      </w:r>
      <w:r w:rsidR="00A87312" w:rsidRPr="00A87312">
        <w:t>[4]</w:t>
      </w:r>
      <w:r w:rsidRPr="00A87312">
        <w:t xml:space="preserve">, СНИЛС  [5], место регистрации: </w:t>
      </w:r>
      <w:r w:rsidR="00A87312" w:rsidRPr="00A87312">
        <w:t>[6]</w:t>
      </w:r>
      <w:r w:rsidRPr="00A87312">
        <w:t>), в отсутствие участвующих в деле лиц, извещенных о времени и месте судебного заседания надлежащим образом, установил следующее.</w:t>
      </w:r>
      <w:proofErr w:type="gramEnd"/>
    </w:p>
    <w:p w:rsidR="00D97035" w:rsidRPr="00A87312" w:rsidRDefault="00A87312">
      <w:pPr>
        <w:ind w:firstLine="720"/>
        <w:contextualSpacing/>
        <w:jc w:val="both"/>
        <w:rPr>
          <w:rFonts w:cs="Times New Roman"/>
        </w:rPr>
      </w:pPr>
      <w:r w:rsidRPr="00A87312">
        <w:t>«[989]»</w:t>
      </w:r>
      <w:r w:rsidR="00D40F2D" w:rsidRPr="00A87312">
        <w:t xml:space="preserve"> (далее – банк) обратилось в арбитражны</w:t>
      </w:r>
      <w:bookmarkStart w:id="0" w:name="_GoBack"/>
      <w:bookmarkEnd w:id="0"/>
      <w:r w:rsidR="00D40F2D" w:rsidRPr="00A87312">
        <w:t xml:space="preserve">й суд с заявлением о банкротстве  </w:t>
      </w:r>
      <w:r w:rsidRPr="00A87312">
        <w:t>[2.1]</w:t>
      </w:r>
      <w:r w:rsidR="00D40F2D" w:rsidRPr="00A87312">
        <w:t>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В обоснование заявления заявитель указывает, что должник имеет неисполненные обязательства по кредитному договору </w:t>
      </w:r>
      <w:r w:rsidR="00A87312" w:rsidRPr="00A87312">
        <w:rPr>
          <w:rFonts w:cs="Times New Roman"/>
        </w:rPr>
        <w:t>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</w:t>
      </w:r>
      <w:r w:rsidR="00A87312" w:rsidRPr="00A87312">
        <w:rPr>
          <w:rFonts w:cs="Times New Roman"/>
        </w:rPr>
        <w:t xml:space="preserve"> </w:t>
      </w:r>
      <w:r w:rsidRPr="00A87312">
        <w:t xml:space="preserve">в размере </w:t>
      </w:r>
      <w:r w:rsidR="00A87312" w:rsidRPr="00A87312">
        <w:t>[12]</w:t>
      </w:r>
      <w:r w:rsidRPr="00A87312">
        <w:t xml:space="preserve"> </w:t>
      </w:r>
      <w:proofErr w:type="spellStart"/>
      <w:r w:rsidRPr="00A87312">
        <w:t>руб.</w:t>
      </w:r>
      <w:proofErr w:type="gramStart"/>
      <w:r w:rsidRPr="00A87312">
        <w:t>,и</w:t>
      </w:r>
      <w:proofErr w:type="gramEnd"/>
      <w:r w:rsidRPr="00A87312">
        <w:t>з</w:t>
      </w:r>
      <w:proofErr w:type="spellEnd"/>
      <w:r w:rsidRPr="00A87312">
        <w:t xml:space="preserve"> них основного долга в размере </w:t>
      </w:r>
      <w:r w:rsidR="00A87312" w:rsidRPr="00A87312">
        <w:t>[13]</w:t>
      </w:r>
      <w:r w:rsidRPr="00A87312">
        <w:t xml:space="preserve"> руб., просроченных процентов в размере </w:t>
      </w:r>
      <w:r w:rsidR="00A87312" w:rsidRPr="00A87312">
        <w:t>[14]</w:t>
      </w:r>
      <w:r w:rsidRPr="00A87312">
        <w:t xml:space="preserve"> руб., неустойки в размере </w:t>
      </w:r>
      <w:r w:rsidR="00A87312" w:rsidRPr="00A87312">
        <w:t>[15]</w:t>
      </w:r>
      <w:r w:rsidRPr="00A87312">
        <w:t xml:space="preserve"> руб., из них: как обеспеченные залогом – [0007] руб.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Изучив и исследовав материалы дела, суд пришел выводу о введении процедуры реструктуризации долгов гражданина по следующим основаниям.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Помимо кредитного договора </w:t>
      </w:r>
      <w:r w:rsidR="00A87312" w:rsidRPr="00A87312">
        <w:rPr>
          <w:rFonts w:cs="Times New Roman"/>
        </w:rPr>
        <w:t>от [100] № [110]</w:t>
      </w:r>
      <w:r w:rsidRPr="00A87312">
        <w:t xml:space="preserve">, между заявителем и должником заключены договор </w:t>
      </w:r>
      <w:r w:rsidR="00A87312" w:rsidRPr="00A87312">
        <w:rPr>
          <w:rFonts w:cs="Times New Roman"/>
        </w:rPr>
        <w:t xml:space="preserve">от [101] № [111], кредитный договор от [102] № [112], кредитный договор от [103] № [113], кредитный договор от [104] № [114], договор поручительства </w:t>
      </w:r>
      <w:proofErr w:type="gramStart"/>
      <w:r w:rsidR="00A87312" w:rsidRPr="00A87312">
        <w:rPr>
          <w:rFonts w:cs="Times New Roman"/>
        </w:rPr>
        <w:t>от</w:t>
      </w:r>
      <w:proofErr w:type="gramEnd"/>
      <w:r w:rsidR="00A87312" w:rsidRPr="00A87312">
        <w:rPr>
          <w:rFonts w:cs="Times New Roman"/>
        </w:rPr>
        <w:t xml:space="preserve"> [105] № [115]</w:t>
      </w:r>
      <w:r w:rsidRPr="00A87312">
        <w:t>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В обеспечение исполнения обязательств по кредитному договору должником заключен договор залога № [0005] от [0006], согласно которому должник передает в залог [1221]. Залоговая стоимость предмета залога – [0007] рублей.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Тот факт, что должник длительное время не исполняет свои обязательства, позволяет признать его неплатежеспособным.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При указанных обстоятельствах суд считает заявление кредитора обоснованным и вводит процедуру реструктуризации долгов гражданина в соответствии с предписанием пункта 1 статьи 213.6 Закона о банкротстве. Основания для введения иной процедуры у суда отсутствуют. </w:t>
      </w:r>
      <w:r w:rsidRPr="00A87312">
        <w:rPr>
          <w:rFonts w:eastAsia="Times New Roman" w:cs="Times New Roman"/>
        </w:rPr>
        <w:lastRenderedPageBreak/>
        <w:t>Предусмотренное пунктом 8 той же статьи исключение позволяет ввести процедуру реализации имущества гражданина в качестве первой процедуры исключительно в том случае, если с таким ходатайством обратился гражданин. Введение данной процедуры по ходатайству конкурсного кредитора не допускается.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 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Требование в размере  </w:t>
      </w:r>
      <w:r w:rsidR="00A87312" w:rsidRPr="00A87312">
        <w:t>[12]</w:t>
      </w:r>
      <w:r w:rsidRPr="00A87312">
        <w:t xml:space="preserve"> руб. основного долга, </w:t>
      </w:r>
      <w:r w:rsidR="00A87312" w:rsidRPr="00A87312">
        <w:t>[13]</w:t>
      </w:r>
      <w:r w:rsidRPr="00A87312">
        <w:t xml:space="preserve"> руб. процентов,</w:t>
      </w:r>
      <w:r w:rsidR="00A87312" w:rsidRPr="00A87312">
        <w:t xml:space="preserve"> [14]</w:t>
      </w:r>
      <w:r w:rsidRPr="00A87312">
        <w:t xml:space="preserve">  руб.  неустойки</w:t>
      </w:r>
      <w:r w:rsidR="00A87312" w:rsidRPr="00A87312">
        <w:t xml:space="preserve"> [15]</w:t>
      </w:r>
      <w:r w:rsidRPr="00A87312">
        <w:t xml:space="preserve">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Кредитором заявлено требование о признании за ним статуса залогового кредитора.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В пункте 1 постановления Пленума Высшего Арбитражного Суда Российской Федерации от 23.07.2009 № 58 «О некоторых вопросах, связанных с удовлетворением требований залогодержателя при банкротстве залогодателя»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должника, судам необходимо учитывать, возникло ли право залогодержателя в установленном порядке, не прекратилось ли оно по основаниям, предусмотренным законодательством, имеется ли у должника заложенное имущество в натуре.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договора и договора залога № [0005] от [0006].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лицам, отсутствуют.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При исследовании вопроса о финансировании процедуры банкротства должника суд установил, что заявитель внес на депозитный счет суда 25 000 рублей для выплаты вознаграждения финансового управляющего.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lastRenderedPageBreak/>
        <w:t>Руководствуясь статьями 213.5, 213.6, 213.7, 213.9 и 213.12 Федерального закона от 26.10.2002 № 127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О П Р Е Д Е Л И Л:</w:t>
      </w:r>
    </w:p>
    <w:p w:rsidR="00D97035" w:rsidRPr="00A87312" w:rsidRDefault="00D97035">
      <w:pPr>
        <w:ind w:firstLine="720"/>
        <w:contextualSpacing/>
        <w:jc w:val="both"/>
        <w:rPr>
          <w:rFonts w:cs="Times New Roman"/>
        </w:rPr>
      </w:pPr>
    </w:p>
    <w:p w:rsidR="00D97035" w:rsidRPr="00A87312" w:rsidRDefault="00D40F2D">
      <w:pPr>
        <w:contextualSpacing/>
        <w:jc w:val="both"/>
        <w:rPr>
          <w:rFonts w:cs="Times New Roman"/>
        </w:rPr>
      </w:pPr>
      <w:r w:rsidRPr="00A87312">
        <w:t>признать заявление публичного акционерного общества «[989]» обоснованным.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Ввести в отношении  </w:t>
      </w:r>
      <w:r w:rsidR="00A87312" w:rsidRPr="00A87312">
        <w:t>[2.1]</w:t>
      </w:r>
      <w:r w:rsidRPr="00A87312">
        <w:t>, применяемую в деле о банкротстве граждан – реструктуризацию долгов гражданина.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proofErr w:type="gramStart"/>
      <w:r w:rsidRPr="00A87312">
        <w:t xml:space="preserve">Включить требование публичного акционерного общества «[989]» в размере </w:t>
      </w:r>
      <w:r w:rsidR="00A87312" w:rsidRPr="00A87312">
        <w:t>[12]</w:t>
      </w:r>
      <w:r w:rsidRPr="00A87312">
        <w:t xml:space="preserve"> руб., из них </w:t>
      </w:r>
      <w:r w:rsidR="00A87312" w:rsidRPr="00A87312">
        <w:t>[13]</w:t>
      </w:r>
      <w:r w:rsidRPr="00A87312">
        <w:t xml:space="preserve"> руб. основного долга, </w:t>
      </w:r>
      <w:r w:rsidR="00A87312" w:rsidRPr="00A87312">
        <w:t>[14]</w:t>
      </w:r>
      <w:r w:rsidRPr="00A87312">
        <w:t xml:space="preserve"> руб. процентов, </w:t>
      </w:r>
      <w:r w:rsidR="00A87312" w:rsidRPr="00A87312">
        <w:t>[15]</w:t>
      </w:r>
      <w:r w:rsidRPr="00A87312">
        <w:t xml:space="preserve">  руб. неустойки, из них: как обеспеченные залогом – [0007] руб., в третью очередь реестра требований кредиторов должника.</w:t>
      </w:r>
      <w:proofErr w:type="gramEnd"/>
    </w:p>
    <w:p w:rsidR="00D97035" w:rsidRPr="00A87312" w:rsidRDefault="00D40F2D">
      <w:pPr>
        <w:ind w:firstLine="720"/>
        <w:contextualSpacing/>
        <w:jc w:val="both"/>
        <w:rPr>
          <w:rFonts w:eastAsia="Times New Roman" w:cs="Times New Roman"/>
        </w:rPr>
      </w:pPr>
      <w:r w:rsidRPr="00A87312">
        <w:rPr>
          <w:rFonts w:eastAsia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:rsidR="00D97035" w:rsidRPr="00A87312" w:rsidRDefault="00D40F2D">
      <w:pPr>
        <w:ind w:firstLine="720"/>
        <w:contextualSpacing/>
        <w:jc w:val="both"/>
      </w:pPr>
      <w:r w:rsidRPr="00A87312">
        <w:t xml:space="preserve">Взыскать с должника в пользу публичного акционерного общества «[989]» </w:t>
      </w:r>
      <w:r w:rsidR="00A87312" w:rsidRPr="00A87312">
        <w:t>[16]</w:t>
      </w:r>
      <w:r w:rsidRPr="00A87312">
        <w:t xml:space="preserve">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A87312" w:rsidRPr="00A87312" w:rsidRDefault="00A87312" w:rsidP="00A87312">
      <w:pPr>
        <w:spacing w:line="240" w:lineRule="auto"/>
        <w:ind w:firstLine="720"/>
        <w:jc w:val="both"/>
        <w:rPr>
          <w:rFonts w:eastAsia="Times New Roman" w:cs="Times New Roman"/>
        </w:rPr>
      </w:pPr>
      <w:r w:rsidRPr="00A87312">
        <w:rPr>
          <w:rFonts w:eastAsia="Times New Roman" w:cs="Times New Roman"/>
        </w:rPr>
        <w:t>Утвердить финансовым управляющим должника – [8] (ИНН [41], адрес для корреспонденции: [42]), члена Ассоциации «Саморегулируемая организация арбитражных управляющих «[987]».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Назначить судебное заседание по рассмотрению вопроса об утверждении плана реструктуризации долгов гражданина на </w:t>
      </w:r>
      <w:r w:rsidR="00A87312" w:rsidRPr="00A87312">
        <w:rPr>
          <w:rFonts w:eastAsia="Times New Roman" w:cs="Times New Roman"/>
        </w:rPr>
        <w:t>[99]</w:t>
      </w:r>
      <w:proofErr w:type="gramStart"/>
      <w:r w:rsidRPr="00A87312">
        <w:rPr>
          <w:rFonts w:eastAsia="Times New Roman" w:cs="Times New Roman"/>
        </w:rPr>
        <w:t>.</w:t>
      </w:r>
      <w:proofErr w:type="gramEnd"/>
      <w:r w:rsidRPr="00A87312">
        <w:rPr>
          <w:rFonts w:eastAsia="Times New Roman" w:cs="Times New Roman"/>
        </w:rPr>
        <w:t xml:space="preserve"> </w:t>
      </w:r>
      <w:proofErr w:type="gramStart"/>
      <w:r w:rsidRPr="00A87312">
        <w:rPr>
          <w:rFonts w:eastAsia="Times New Roman" w:cs="Times New Roman"/>
        </w:rPr>
        <w:t>в</w:t>
      </w:r>
      <w:proofErr w:type="gramEnd"/>
      <w:r w:rsidRPr="00A87312">
        <w:rPr>
          <w:rFonts w:eastAsia="Times New Roman" w:cs="Times New Roman"/>
        </w:rPr>
        <w:t xml:space="preserve"> помещении суда по адресу: г. Ростов-на-Дону, ул. Станиславского, 10/11-13, зал № ____.</w:t>
      </w:r>
    </w:p>
    <w:p w:rsidR="00D97035" w:rsidRPr="00A87312" w:rsidRDefault="00D40F2D">
      <w:pPr>
        <w:ind w:firstLine="720"/>
        <w:contextualSpacing/>
        <w:jc w:val="both"/>
      </w:pPr>
      <w:r w:rsidRPr="00A87312">
        <w:rPr>
          <w:rFonts w:eastAsia="Times New Roman" w:cs="Times New Roman"/>
        </w:rPr>
        <w:t>В соответствии со ст. 213.8. и п. 5 ст. 213.12. Федерального «О несостоятельности (банкротстве)» финансовому управляющему определить дату проведения первого собрания кредиторов и уведомить об этом всех выявленных конкурсных кредиторов, уполномоченные органы и иных лиц, имеющих в соответствии с Федеральным законом «О несостоятельности (банкротстве)» право на участие в собрании кредиторов.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Обязать финансового управляющего заблаговременно в пятидневный срок досудебного заседания представить отчет о своей деятельности, сведения о финансовом состоянии гражданина, протокол собрания кредиторов, на котором рассматривался проект плана реструктуризации долгов гражданина, с приложением документов, определенных пунктом 7 статьи 12 Закона о банкротстве.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Для реализации финансовым управляющим возложенных на него полномочий суд обязывает органы государственной власти, иные регистрирующие органы и организации по запросу финансового управляющего предоставлять сведения в отношении должника и его супруга (бывшего супруга) с правом получения ответов на руки, включая сведения, составляющие налоговую и иную охраняемую законом тайну.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Предложить должнику, кредитору или уполномоченному органу не позднее чем в течение десяти дней с даты истечения срока, предусмотренного пунктом 2 статьи 213.8 Федерального закона от 26.10.2002 № 127 «О несостоятельности (банкротстве)» направить финансовому управляющему, конкурсным кредиторам, в уполномоченный орган проект плана реструктуризации долгов гражданина.</w:t>
      </w:r>
    </w:p>
    <w:p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Определение подлежит немедленному исполнению и может быть обжаловано в арбитражный суд апелляционной инстанции в течение десяти дней со дня его вынесения.</w:t>
      </w:r>
    </w:p>
    <w:p w:rsidR="00D97035" w:rsidRPr="00A87312" w:rsidRDefault="00D97035">
      <w:pPr>
        <w:spacing w:line="240" w:lineRule="auto"/>
        <w:ind w:firstLine="720"/>
        <w:contextualSpacing/>
        <w:jc w:val="both"/>
        <w:rPr>
          <w:rFonts w:cs="Times New Roman"/>
        </w:rPr>
      </w:pPr>
    </w:p>
    <w:p w:rsidR="00D97035" w:rsidRPr="00A87312" w:rsidRDefault="00D97035">
      <w:pPr>
        <w:spacing w:line="240" w:lineRule="auto"/>
        <w:ind w:firstLine="720"/>
        <w:contextualSpacing/>
        <w:jc w:val="both"/>
        <w:rPr>
          <w:rFonts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97035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97035" w:rsidRPr="00A87312" w:rsidRDefault="00D40F2D">
            <w:pPr>
              <w:contextualSpacing/>
              <w:jc w:val="both"/>
              <w:rPr>
                <w:rFonts w:cs="Times New Roman"/>
              </w:rPr>
            </w:pPr>
            <w:r w:rsidRPr="00A87312">
              <w:rPr>
                <w:rFonts w:eastAsia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97035" w:rsidRPr="00A87312" w:rsidRDefault="00A87312">
            <w:pPr>
              <w:contextualSpacing/>
              <w:jc w:val="right"/>
              <w:rPr>
                <w:rFonts w:cs="Times New Roman"/>
                <w:lang w:val="en-US"/>
              </w:rPr>
            </w:pPr>
            <w:r w:rsidRPr="00A87312">
              <w:rPr>
                <w:rFonts w:eastAsia="Times New Roman" w:cs="Times New Roman"/>
                <w:lang w:val="en-US"/>
              </w:rPr>
              <w:t>[415]</w:t>
            </w:r>
          </w:p>
        </w:tc>
      </w:tr>
    </w:tbl>
    <w:p w:rsidR="00D97035" w:rsidRDefault="00D97035">
      <w:pPr>
        <w:spacing w:line="240" w:lineRule="auto"/>
        <w:ind w:firstLine="720"/>
        <w:contextualSpacing/>
        <w:jc w:val="both"/>
        <w:rPr>
          <w:rFonts w:cs="Times New Roman"/>
        </w:rPr>
      </w:pPr>
    </w:p>
    <w:sectPr w:rsidR="00D9703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6E5" w:rsidRDefault="007D16E5">
      <w:pPr>
        <w:spacing w:after="0" w:line="240" w:lineRule="auto"/>
      </w:pPr>
      <w:r>
        <w:separator/>
      </w:r>
    </w:p>
  </w:endnote>
  <w:endnote w:type="continuationSeparator" w:id="0">
    <w:p w:rsidR="007D16E5" w:rsidRDefault="007D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6E5" w:rsidRDefault="007D16E5">
      <w:pPr>
        <w:spacing w:after="0" w:line="240" w:lineRule="auto"/>
      </w:pPr>
      <w:r>
        <w:separator/>
      </w:r>
    </w:p>
  </w:footnote>
  <w:footnote w:type="continuationSeparator" w:id="0">
    <w:p w:rsidR="007D16E5" w:rsidRDefault="007D16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035"/>
    <w:rsid w:val="0003521C"/>
    <w:rsid w:val="0011030F"/>
    <w:rsid w:val="00463873"/>
    <w:rsid w:val="0067287D"/>
    <w:rsid w:val="007D15B9"/>
    <w:rsid w:val="007D16E5"/>
    <w:rsid w:val="0080463E"/>
    <w:rsid w:val="00927832"/>
    <w:rsid w:val="00963E4A"/>
    <w:rsid w:val="00A87312"/>
    <w:rsid w:val="00A87AD9"/>
    <w:rsid w:val="00D40F2D"/>
    <w:rsid w:val="00D97035"/>
    <w:rsid w:val="00DF3768"/>
    <w:rsid w:val="00E126E7"/>
    <w:rsid w:val="00EA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="Arial" w:cs="Arial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eastAsia="Arial" w:cs="Arial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 w:cs="Arial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eastAsia="Arial" w:cs="Arial"/>
      <w:b/>
      <w:bCs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eastAsia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eastAsia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eastAsia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eastAsia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eastAsia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Arial" w:hAnsi="Times New Roman" w:cs="Arial"/>
      <w:sz w:val="22"/>
      <w:szCs w:val="40"/>
    </w:rPr>
  </w:style>
  <w:style w:type="character" w:customStyle="1" w:styleId="20">
    <w:name w:val="Заголовок 2 Знак"/>
    <w:link w:val="2"/>
    <w:uiPriority w:val="9"/>
    <w:rPr>
      <w:rFonts w:ascii="Times New Roman" w:eastAsia="Arial" w:hAnsi="Times New Roman" w:cs="Arial"/>
      <w:sz w:val="22"/>
    </w:rPr>
  </w:style>
  <w:style w:type="character" w:customStyle="1" w:styleId="30">
    <w:name w:val="Заголовок 3 Знак"/>
    <w:link w:val="3"/>
    <w:uiPriority w:val="9"/>
    <w:rPr>
      <w:rFonts w:ascii="Times New Roman" w:eastAsia="Arial" w:hAnsi="Times New Roman" w:cs="Arial"/>
      <w:sz w:val="22"/>
      <w:szCs w:val="30"/>
    </w:rPr>
  </w:style>
  <w:style w:type="character" w:customStyle="1" w:styleId="40">
    <w:name w:val="Заголовок 4 Знак"/>
    <w:link w:val="4"/>
    <w:uiPriority w:val="9"/>
    <w:rPr>
      <w:rFonts w:ascii="Times New Roman" w:eastAsia="Arial" w:hAnsi="Times New Roman" w:cs="Arial"/>
      <w:b/>
      <w:bCs/>
      <w:sz w:val="22"/>
      <w:szCs w:val="26"/>
    </w:rPr>
  </w:style>
  <w:style w:type="character" w:customStyle="1" w:styleId="50">
    <w:name w:val="Заголовок 5 Знак"/>
    <w:link w:val="5"/>
    <w:uiPriority w:val="9"/>
    <w:rPr>
      <w:rFonts w:ascii="Times New Roman" w:eastAsia="Arial" w:hAnsi="Times New Roman" w:cs="Arial"/>
      <w:b/>
      <w:bCs/>
      <w:sz w:val="22"/>
      <w:szCs w:val="24"/>
    </w:rPr>
  </w:style>
  <w:style w:type="character" w:customStyle="1" w:styleId="60">
    <w:name w:val="Заголовок 6 Знак"/>
    <w:link w:val="6"/>
    <w:uiPriority w:val="9"/>
    <w:rPr>
      <w:rFonts w:ascii="Times New Roman" w:eastAsia="Arial" w:hAnsi="Times New Roman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Times New Roman" w:eastAsia="Arial" w:hAnsi="Times New Roman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Times New Roman" w:eastAsia="Arial" w:hAnsi="Times New Roman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Times New Roman" w:eastAsia="Arial" w:hAnsi="Times New Roman" w:cs="Arial"/>
      <w:i/>
      <w:iCs/>
      <w:sz w:val="22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Cs w:val="48"/>
    </w:rPr>
  </w:style>
  <w:style w:type="character" w:customStyle="1" w:styleId="a4">
    <w:name w:val="Название Знак"/>
    <w:link w:val="a3"/>
    <w:uiPriority w:val="10"/>
    <w:rPr>
      <w:rFonts w:ascii="Times New Roman" w:hAnsi="Times New Roman"/>
      <w:sz w:val="22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Cs w:val="24"/>
    </w:rPr>
  </w:style>
  <w:style w:type="character" w:customStyle="1" w:styleId="a6">
    <w:name w:val="Подзаголовок Знак"/>
    <w:link w:val="a5"/>
    <w:uiPriority w:val="11"/>
    <w:rPr>
      <w:rFonts w:ascii="Times New Roman" w:hAnsi="Times New Roman"/>
      <w:sz w:val="22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sz w:val="22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rFonts w:ascii="Times New Roman" w:hAnsi="Times New Roman"/>
      <w:i/>
      <w:sz w:val="22"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  <w:rPr>
      <w:rFonts w:ascii="Times New Roman" w:hAnsi="Times New Roman"/>
      <w:sz w:val="22"/>
    </w:rPr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  <w:rPr>
      <w:rFonts w:ascii="Times New Roman" w:hAnsi="Times New Roman"/>
      <w:sz w:val="22"/>
    </w:rPr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Cs w:val="18"/>
    </w:rPr>
  </w:style>
  <w:style w:type="character" w:customStyle="1" w:styleId="ae">
    <w:name w:val="Название объекта Знак"/>
    <w:link w:val="ad"/>
    <w:uiPriority w:val="35"/>
    <w:rPr>
      <w:rFonts w:ascii="Times New Roman" w:hAnsi="Times New Roman"/>
      <w:b/>
      <w:bCs/>
      <w:color w:val="5B9BD5" w:themeColor="accent1"/>
      <w:sz w:val="22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rFonts w:ascii="Times New Roman" w:hAnsi="Times New Roman"/>
      <w:color w:val="0563C1" w:themeColor="hyperlink"/>
      <w:sz w:val="22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</w:style>
  <w:style w:type="character" w:customStyle="1" w:styleId="af2">
    <w:name w:val="Текст сноски Знак"/>
    <w:link w:val="af1"/>
    <w:uiPriority w:val="99"/>
    <w:rPr>
      <w:rFonts w:ascii="Times New Roman" w:hAnsi="Times New Roman"/>
      <w:sz w:val="22"/>
    </w:rPr>
  </w:style>
  <w:style w:type="character" w:styleId="af3">
    <w:name w:val="footnote reference"/>
    <w:uiPriority w:val="99"/>
    <w:unhideWhenUsed/>
    <w:rPr>
      <w:rFonts w:ascii="Times New Roman" w:hAnsi="Times New Roman"/>
      <w:sz w:val="22"/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</w:style>
  <w:style w:type="character" w:customStyle="1" w:styleId="af5">
    <w:name w:val="Текст концевой сноски Знак"/>
    <w:link w:val="af4"/>
    <w:uiPriority w:val="99"/>
    <w:rPr>
      <w:rFonts w:ascii="Times New Roman" w:hAnsi="Times New Roman"/>
      <w:sz w:val="22"/>
    </w:rPr>
  </w:style>
  <w:style w:type="character" w:styleId="af6">
    <w:name w:val="endnote reference"/>
    <w:uiPriority w:val="99"/>
    <w:semiHidden/>
    <w:unhideWhenUsed/>
    <w:rPr>
      <w:rFonts w:ascii="Times New Roman" w:hAnsi="Times New Roman"/>
      <w:sz w:val="22"/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rPr>
      <w:rFonts w:ascii="Times New Roman" w:hAnsi="Times New Roman"/>
    </w:rPr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="Arial" w:cs="Arial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eastAsia="Arial" w:cs="Arial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 w:cs="Arial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eastAsia="Arial" w:cs="Arial"/>
      <w:b/>
      <w:bCs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eastAsia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eastAsia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eastAsia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eastAsia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eastAsia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Arial" w:hAnsi="Times New Roman" w:cs="Arial"/>
      <w:sz w:val="22"/>
      <w:szCs w:val="40"/>
    </w:rPr>
  </w:style>
  <w:style w:type="character" w:customStyle="1" w:styleId="20">
    <w:name w:val="Заголовок 2 Знак"/>
    <w:link w:val="2"/>
    <w:uiPriority w:val="9"/>
    <w:rPr>
      <w:rFonts w:ascii="Times New Roman" w:eastAsia="Arial" w:hAnsi="Times New Roman" w:cs="Arial"/>
      <w:sz w:val="22"/>
    </w:rPr>
  </w:style>
  <w:style w:type="character" w:customStyle="1" w:styleId="30">
    <w:name w:val="Заголовок 3 Знак"/>
    <w:link w:val="3"/>
    <w:uiPriority w:val="9"/>
    <w:rPr>
      <w:rFonts w:ascii="Times New Roman" w:eastAsia="Arial" w:hAnsi="Times New Roman" w:cs="Arial"/>
      <w:sz w:val="22"/>
      <w:szCs w:val="30"/>
    </w:rPr>
  </w:style>
  <w:style w:type="character" w:customStyle="1" w:styleId="40">
    <w:name w:val="Заголовок 4 Знак"/>
    <w:link w:val="4"/>
    <w:uiPriority w:val="9"/>
    <w:rPr>
      <w:rFonts w:ascii="Times New Roman" w:eastAsia="Arial" w:hAnsi="Times New Roman" w:cs="Arial"/>
      <w:b/>
      <w:bCs/>
      <w:sz w:val="22"/>
      <w:szCs w:val="26"/>
    </w:rPr>
  </w:style>
  <w:style w:type="character" w:customStyle="1" w:styleId="50">
    <w:name w:val="Заголовок 5 Знак"/>
    <w:link w:val="5"/>
    <w:uiPriority w:val="9"/>
    <w:rPr>
      <w:rFonts w:ascii="Times New Roman" w:eastAsia="Arial" w:hAnsi="Times New Roman" w:cs="Arial"/>
      <w:b/>
      <w:bCs/>
      <w:sz w:val="22"/>
      <w:szCs w:val="24"/>
    </w:rPr>
  </w:style>
  <w:style w:type="character" w:customStyle="1" w:styleId="60">
    <w:name w:val="Заголовок 6 Знак"/>
    <w:link w:val="6"/>
    <w:uiPriority w:val="9"/>
    <w:rPr>
      <w:rFonts w:ascii="Times New Roman" w:eastAsia="Arial" w:hAnsi="Times New Roman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Times New Roman" w:eastAsia="Arial" w:hAnsi="Times New Roman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Times New Roman" w:eastAsia="Arial" w:hAnsi="Times New Roman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Times New Roman" w:eastAsia="Arial" w:hAnsi="Times New Roman" w:cs="Arial"/>
      <w:i/>
      <w:iCs/>
      <w:sz w:val="22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Cs w:val="48"/>
    </w:rPr>
  </w:style>
  <w:style w:type="character" w:customStyle="1" w:styleId="a4">
    <w:name w:val="Название Знак"/>
    <w:link w:val="a3"/>
    <w:uiPriority w:val="10"/>
    <w:rPr>
      <w:rFonts w:ascii="Times New Roman" w:hAnsi="Times New Roman"/>
      <w:sz w:val="22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Cs w:val="24"/>
    </w:rPr>
  </w:style>
  <w:style w:type="character" w:customStyle="1" w:styleId="a6">
    <w:name w:val="Подзаголовок Знак"/>
    <w:link w:val="a5"/>
    <w:uiPriority w:val="11"/>
    <w:rPr>
      <w:rFonts w:ascii="Times New Roman" w:hAnsi="Times New Roman"/>
      <w:sz w:val="22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sz w:val="22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rFonts w:ascii="Times New Roman" w:hAnsi="Times New Roman"/>
      <w:i/>
      <w:sz w:val="22"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  <w:rPr>
      <w:rFonts w:ascii="Times New Roman" w:hAnsi="Times New Roman"/>
      <w:sz w:val="22"/>
    </w:rPr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  <w:rPr>
      <w:rFonts w:ascii="Times New Roman" w:hAnsi="Times New Roman"/>
      <w:sz w:val="22"/>
    </w:rPr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Cs w:val="18"/>
    </w:rPr>
  </w:style>
  <w:style w:type="character" w:customStyle="1" w:styleId="ae">
    <w:name w:val="Название объекта Знак"/>
    <w:link w:val="ad"/>
    <w:uiPriority w:val="35"/>
    <w:rPr>
      <w:rFonts w:ascii="Times New Roman" w:hAnsi="Times New Roman"/>
      <w:b/>
      <w:bCs/>
      <w:color w:val="5B9BD5" w:themeColor="accent1"/>
      <w:sz w:val="22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rFonts w:ascii="Times New Roman" w:hAnsi="Times New Roman"/>
      <w:color w:val="0563C1" w:themeColor="hyperlink"/>
      <w:sz w:val="22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</w:style>
  <w:style w:type="character" w:customStyle="1" w:styleId="af2">
    <w:name w:val="Текст сноски Знак"/>
    <w:link w:val="af1"/>
    <w:uiPriority w:val="99"/>
    <w:rPr>
      <w:rFonts w:ascii="Times New Roman" w:hAnsi="Times New Roman"/>
      <w:sz w:val="22"/>
    </w:rPr>
  </w:style>
  <w:style w:type="character" w:styleId="af3">
    <w:name w:val="footnote reference"/>
    <w:uiPriority w:val="99"/>
    <w:unhideWhenUsed/>
    <w:rPr>
      <w:rFonts w:ascii="Times New Roman" w:hAnsi="Times New Roman"/>
      <w:sz w:val="22"/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</w:style>
  <w:style w:type="character" w:customStyle="1" w:styleId="af5">
    <w:name w:val="Текст концевой сноски Знак"/>
    <w:link w:val="af4"/>
    <w:uiPriority w:val="99"/>
    <w:rPr>
      <w:rFonts w:ascii="Times New Roman" w:hAnsi="Times New Roman"/>
      <w:sz w:val="22"/>
    </w:rPr>
  </w:style>
  <w:style w:type="character" w:styleId="af6">
    <w:name w:val="endnote reference"/>
    <w:uiPriority w:val="99"/>
    <w:semiHidden/>
    <w:unhideWhenUsed/>
    <w:rPr>
      <w:rFonts w:ascii="Times New Roman" w:hAnsi="Times New Roman"/>
      <w:sz w:val="22"/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rPr>
      <w:rFonts w:ascii="Times New Roman" w:hAnsi="Times New Roman"/>
    </w:rPr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BigBoss</dc:creator>
  <cp:lastModifiedBy>BigBoss</cp:lastModifiedBy>
  <cp:revision>2</cp:revision>
  <dcterms:created xsi:type="dcterms:W3CDTF">2026-07-22T08:29:00Z</dcterms:created>
  <dcterms:modified xsi:type="dcterms:W3CDTF">2026-07-22T08:29:00Z</dcterms:modified>
</cp:coreProperties>
</file>