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095" cy="628571"/>
                <wp:effectExtent l="0" t="0" r="0" b="63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38095" cy="6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.24pt;height:49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en-US"/>
        </w:rPr>
      </w:r>
    </w:p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344 002 г. Ростов-на-Дону, ул. Станиславского, 10/11-13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http</w:t>
      </w:r>
      <w:r>
        <w:rPr>
          <w:rFonts w:ascii="Times New Roman" w:hAnsi="Times New Roman" w:eastAsia="Times New Roman" w:cs="Times New Roman"/>
        </w:rPr>
        <w:t xml:space="preserve">://</w:t>
      </w:r>
      <w:r>
        <w:rPr>
          <w:rFonts w:ascii="Times New Roman" w:hAnsi="Times New Roman" w:eastAsia="Times New Roman" w:cs="Times New Roman"/>
          <w:lang w:val="en-US"/>
        </w:rPr>
        <w:t xml:space="preserve">www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  <w:lang w:val="en-US"/>
        </w:rPr>
        <w:t xml:space="preserve">mail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info</w:t>
      </w:r>
      <w:r>
        <w:rPr>
          <w:rFonts w:ascii="Times New Roman" w:hAnsi="Times New Roman" w:eastAsia="Times New Roman" w:cs="Times New Roman"/>
        </w:rPr>
        <w:t xml:space="preserve">@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г. Ростов-на-Дону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[66]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Дело №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[1]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contextualSpacing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Судья Арбитражного суда Ростовской области</w:t>
      </w:r>
      <w:r>
        <w:rPr>
          <w:rFonts w:ascii="Times New Roman" w:hAnsi="Times New Roman" w:eastAsia="Times New Roman" w:cs="Times New Roman"/>
        </w:rPr>
        <w:t xml:space="preserve"> [415]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ведении протокола судебного заседания секретарем судебного заседания [29],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требований в реестр кредиторов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установил: Определением Арбитражного суда Ростовской области от [7] ИП [2] признан несостоятельным (банкротом), введена процедура, применяемая в деле о банкротстве граждан - реструктуризация долгов, ф</w:t>
      </w:r>
      <w:r>
        <w:rPr>
          <w:rFonts w:ascii="Times New Roman" w:hAnsi="Times New Roman" w:eastAsia="Times New Roman" w:cs="Times New Roman"/>
        </w:rPr>
        <w:t xml:space="preserve">инансовым управляющим утвержден </w:t>
      </w:r>
      <w:r>
        <w:rPr>
          <w:rFonts w:ascii="Times New Roman" w:hAnsi="Times New Roman" w:eastAsia="Times New Roman" w:cs="Times New Roman"/>
        </w:rPr>
        <w:t xml:space="preserve">[8] из числа членов саморегулируемой организации –[</w:t>
      </w:r>
      <w:r>
        <w:rPr>
          <w:rFonts w:ascii="Times New Roman" w:hAnsi="Times New Roman" w:eastAsia="Times New Roman" w:cs="Times New Roman"/>
        </w:rPr>
        <w:t xml:space="preserve">987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Сведения о признании должника банкротом и введении процедуры реструктуризации долгов опубликованы на сайте ЕФРСБ сообщение </w:t>
      </w:r>
      <w:r>
        <w:rPr>
          <w:rFonts w:ascii="Times New Roman" w:hAnsi="Times New Roman" w:eastAsia="Times New Roman" w:cs="Times New Roman"/>
        </w:rPr>
        <w:t xml:space="preserve">[11]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(сообщение 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[9])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Заявление «[989]» о включении в реестр требований кредиторов</w:t>
      </w:r>
      <w:r>
        <w:rPr>
          <w:rFonts w:ascii="Times New Roman" w:hAnsi="Times New Roman" w:cs="Times New Roman"/>
        </w:rPr>
        <w:t xml:space="preserve"> ИП </w:t>
      </w:r>
      <w:r>
        <w:rPr>
          <w:rFonts w:ascii="Times New Roman" w:hAnsi="Times New Roman" w:cs="Times New Roman"/>
        </w:rPr>
        <w:t xml:space="preserve">[2</w:t>
      </w:r>
      <w:r>
        <w:rPr>
          <w:rFonts w:ascii="Times New Roman" w:hAnsi="Times New Roman" w:cs="Times New Roman"/>
        </w:rPr>
        <w:t xml:space="preserve">.1</w:t>
      </w:r>
      <w:r>
        <w:rPr>
          <w:rFonts w:ascii="Times New Roman" w:hAnsi="Times New Roman" w:cs="Times New Roman"/>
        </w:rPr>
        <w:t xml:space="preserve">] направлено в Арбитражный суд Ростовской области посредством системы Мой арбитр [777], поступило в суд [23], (согласно штампу канцелярии суда).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Изучив материалы дела, суд установил следующее.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обоснование заявленных требований кредитор указал, что [989] и [2.1</w:t>
      </w:r>
      <w:r>
        <w:rPr>
          <w:rFonts w:ascii="Times New Roman" w:hAnsi="Times New Roman" w:cs="Times New Roman"/>
        </w:rPr>
        <w:t xml:space="preserve">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обеспечение обязательств по кредитному договору с [2</w:t>
      </w:r>
      <w:r>
        <w:rPr>
          <w:rFonts w:ascii="Times New Roman" w:hAnsi="Times New Roman" w:eastAsia="Times New Roman" w:cs="Times New Roman"/>
        </w:rPr>
        <w:t xml:space="preserve">.3</w:t>
      </w:r>
      <w:r>
        <w:rPr>
          <w:rFonts w:ascii="Times New Roman" w:hAnsi="Times New Roman" w:eastAsia="Times New Roman" w:cs="Times New Roman"/>
        </w:rPr>
        <w:t xml:space="preserve">] заключен договор залога № </w:t>
      </w:r>
      <w:r>
        <w:rPr>
          <w:rFonts w:ascii="Times New Roman" w:hAnsi="Times New Roman" w:eastAsia="Times New Roman" w:cs="Times New Roman"/>
        </w:rPr>
        <w:t xml:space="preserve">[0005]</w:t>
      </w:r>
      <w:r>
        <w:rPr>
          <w:rFonts w:ascii="Times New Roman" w:hAnsi="Times New Roman" w:eastAsia="Times New Roman" w:cs="Times New Roman"/>
        </w:rPr>
        <w:t xml:space="preserve"> от </w:t>
      </w:r>
      <w:r>
        <w:rPr>
          <w:rFonts w:ascii="Times New Roman" w:hAnsi="Times New Roman" w:eastAsia="Times New Roman" w:cs="Times New Roman"/>
        </w:rPr>
        <w:t xml:space="preserve">[0006]</w:t>
      </w:r>
      <w:r>
        <w:rPr>
          <w:rFonts w:ascii="Times New Roman" w:hAnsi="Times New Roman" w:eastAsia="Times New Roman" w:cs="Times New Roman"/>
        </w:rPr>
        <w:t xml:space="preserve"> согласно которому должник передает в залог [</w:t>
      </w:r>
      <w:r>
        <w:rPr>
          <w:rStyle w:val="837"/>
          <w:rFonts w:ascii="Times New Roman" w:hAnsi="Times New Roman" w:cs="Times New Roman"/>
        </w:rPr>
        <w:t xml:space="preserve">1221</w:t>
      </w:r>
      <w:r>
        <w:rPr>
          <w:rFonts w:ascii="Times New Roman" w:hAnsi="Times New Roman" w:eastAsia="Times New Roman" w:cs="Times New Roman"/>
        </w:rPr>
        <w:t xml:space="preserve">] Залоговая стоимость предмета залога 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[0007]</w:t>
      </w:r>
      <w:r>
        <w:rPr>
          <w:rFonts w:ascii="Times New Roman" w:hAnsi="Times New Roman" w:eastAsia="Times New Roman" w:cs="Times New Roman"/>
        </w:rPr>
        <w:t xml:space="preserve"> рублей.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Поскольку </w:t>
      </w:r>
      <w:r>
        <w:rPr>
          <w:rFonts w:ascii="Times New Roman" w:hAnsi="Times New Roman" w:eastAsia="Times New Roman" w:cs="Times New Roman"/>
        </w:rPr>
        <w:t xml:space="preserve">должник</w:t>
      </w:r>
      <w:r>
        <w:rPr>
          <w:rFonts w:ascii="Times New Roman" w:hAnsi="Times New Roman" w:eastAsia="Times New Roman" w:cs="Times New Roman"/>
        </w:rPr>
        <w:t xml:space="preserve"> обязательства по своевременному погашению кредита и процентов по нему исполнял ненадлежащим образом, образовалась проср</w:t>
      </w:r>
      <w:r>
        <w:rPr>
          <w:rFonts w:ascii="Times New Roman" w:hAnsi="Times New Roman" w:eastAsia="Times New Roman" w:cs="Times New Roman"/>
        </w:rPr>
        <w:t xml:space="preserve">оченная задолженность в размере</w:t>
      </w:r>
      <w:r>
        <w:rPr>
          <w:rFonts w:ascii="Times New Roman" w:hAnsi="Times New Roman" w:eastAsia="Times New Roman" w:cs="Times New Roman"/>
        </w:rPr>
        <w:t xml:space="preserve"> [12] руб., из которых: [13] руб. – просроченный основной долг, [14] руб. - просроченные проценты, [15] руб. – неустойка.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соответствии со статьей 819 Гражданского кодекса Российской Федерации по кредитному дог</w:t>
      </w:r>
      <w:r>
        <w:rPr>
          <w:rFonts w:ascii="Times New Roman" w:hAnsi="Times New Roman" w:eastAsia="Times New Roman" w:cs="Times New Roman"/>
        </w:rPr>
        <w:t xml:space="preserve">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</w:t>
      </w:r>
      <w:r>
        <w:rPr>
          <w:rFonts w:ascii="Times New Roman" w:hAnsi="Times New Roman" w:eastAsia="Times New Roman" w:cs="Times New Roman"/>
        </w:rPr>
        <w:t xml:space="preserve">ею, а также предусмотренные кредитным договором иные платежи, в том числе связанные с предоставлением кредита.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случае предоставления кредита гражданину в целях, не связанных с осуществлением предпринимател</w:t>
      </w:r>
      <w:r>
        <w:rPr>
          <w:rFonts w:ascii="Times New Roman" w:hAnsi="Times New Roman" w:eastAsia="Times New Roman" w:cs="Times New Roman"/>
        </w:rPr>
        <w:t xml:space="preserve">ьской деятельности (в том числе кредита, обязательства заемщика по которому 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</w:t>
      </w:r>
      <w:r>
        <w:rPr>
          <w:rFonts w:ascii="Times New Roman" w:hAnsi="Times New Roman" w:eastAsia="Times New Roman" w:cs="Times New Roman"/>
        </w:rPr>
        <w:t xml:space="preserve">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соответствии со статьей 309 Гражданского кодекса Российской Федерации обязатель</w:t>
      </w:r>
      <w:r>
        <w:rPr>
          <w:rFonts w:ascii="Times New Roman" w:hAnsi="Times New Roman" w:eastAsia="Times New Roman" w:cs="Times New Roman"/>
        </w:rPr>
        <w:t xml:space="preserve">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</w:t>
      </w:r>
      <w:r>
        <w:rPr>
          <w:rFonts w:ascii="Times New Roman" w:hAnsi="Times New Roman" w:eastAsia="Times New Roman" w:cs="Times New Roman"/>
        </w:rPr>
        <w:t xml:space="preserve">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Обстоятельства, на которые ссылается заявитель в обоснование требований, установлены судом.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Доказательств надлежащег</w:t>
      </w:r>
      <w:r>
        <w:rPr>
          <w:rFonts w:ascii="Times New Roman" w:hAnsi="Times New Roman" w:eastAsia="Times New Roman" w:cs="Times New Roman"/>
        </w:rPr>
        <w:t xml:space="preserve">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Таким образом, требование заявителя подлежит включению в третью очередь реестра требований кредиторов должника.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Кредитором заявлено требование о признании за ним статуса залогового.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</w:t>
      </w:r>
      <w:r>
        <w:rPr>
          <w:rFonts w:ascii="Times New Roman" w:hAnsi="Times New Roman" w:eastAsia="Times New Roman" w:cs="Times New Roman"/>
        </w:rPr>
        <w:t xml:space="preserve">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 основании пункта 4 статьи 137 и статьи 138 Закона о банкротстве требования кредитор</w:t>
      </w:r>
      <w:r>
        <w:rPr>
          <w:rFonts w:ascii="Times New Roman" w:hAnsi="Times New Roman" w:eastAsia="Times New Roman" w:cs="Times New Roman"/>
        </w:rPr>
        <w:t xml:space="preserve">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пункте 1 постановления Пленума Высшего Арбитражного Суда Российской Федерации от 23.07.2009 № 58 "О некоторых вопросах, связанных с удовлетворением требований </w:t>
      </w:r>
      <w:r>
        <w:rPr>
          <w:rFonts w:ascii="Times New Roman" w:hAnsi="Times New Roman" w:eastAsia="Times New Roman" w:cs="Times New Roman"/>
        </w:rPr>
        <w:t xml:space="preserve">залогодержа</w:t>
      </w:r>
      <w:r>
        <w:rPr>
          <w:rFonts w:ascii="Times New Roman" w:hAnsi="Times New Roman" w:eastAsia="Times New Roman" w:cs="Times New Roman"/>
        </w:rPr>
        <w:t xml:space="preserve">теля при банкротстве залогодателя"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 (далее - залоговых кредиторов), судам необходимо учитывать следующее.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Если судом </w:t>
      </w:r>
      <w:r>
        <w:rPr>
          <w:rFonts w:ascii="Times New Roman" w:hAnsi="Times New Roman" w:eastAsia="Times New Roman" w:cs="Times New Roman"/>
        </w:rPr>
        <w:t xml:space="preserve">не рассматривалось ранее требование залогодержателя об обращении взыскания на заложенное имущество, то суд при установлении требований кредитора проверяет, возникло ли право залогодержателя в установленном порядке (имеется ли надлежащий договор о залоге, н</w:t>
      </w:r>
      <w:r>
        <w:rPr>
          <w:rFonts w:ascii="Times New Roman" w:hAnsi="Times New Roman" w:eastAsia="Times New Roman" w:cs="Times New Roman"/>
        </w:rPr>
        <w:t xml:space="preserve">аступили ли обстоятельства, влекущие возникновение залога в силу закона), не прекратилось ли оно по основаниям, предусмотренным законодательством, имеется ли у должника заложенное имущество в натуре (сохраняется ли возможность обращения взыскания на него).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ходе установления требований залогового кредитора при наличии судебного акта об обращении взыскания на заложенное имущество суд проверяет указанные обстоятельства, за исключением тех, которые касаются возникновения права залогодержателя.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Если заложенное имущество выбыло из владения залогодателя, в том числе в результате его отчуждения, но право залога сохра</w:t>
      </w:r>
      <w:r>
        <w:rPr>
          <w:rFonts w:ascii="Times New Roman" w:hAnsi="Times New Roman" w:eastAsia="Times New Roman" w:cs="Times New Roman"/>
        </w:rPr>
        <w:t xml:space="preserve">няется, то залогодержатель вправе реализовать свое право посредством предъявления иска к владельцу имущества. В этом случае суд отказывает кредитору в установлении его требований в деле о банкротстве как требований, обеспеченных залогом имущества должника.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 анализа приведенных выше норм следует что, при рассмотрении</w:t>
      </w:r>
      <w:r>
        <w:rPr>
          <w:rFonts w:ascii="Times New Roman" w:hAnsi="Times New Roman" w:eastAsia="Times New Roman" w:cs="Times New Roman"/>
        </w:rPr>
        <w:t xml:space="preserve"> вопроса об установлении за кредитором статуса кредитора, требования которого обеспечены залогом имущества должника, в целях реального исполнения судебного акта судом принимаются доказательства, свидетельствующие о наличии у должника заложенного имущества.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Устанавливая требования залогового кредитора, суд учитывает, что в соответствии со статьей 337, пунктом 1 ст</w:t>
      </w:r>
      <w:r>
        <w:rPr>
          <w:rFonts w:ascii="Times New Roman" w:hAnsi="Times New Roman" w:eastAsia="Times New Roman" w:cs="Times New Roman"/>
        </w:rPr>
        <w:t xml:space="preserve">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 (за исключением случая, когда обязательство обеспечивалось залогом не в полном объеме, а только в части).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установлении требований залогодержателя в деле о банкротстве не применяются положения пункта 2 статьи 348 ГК РФ об основаниях для отказа в обращении взыскания на заложенное имущество.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договоров, договора залога № </w:t>
      </w:r>
      <w:r>
        <w:rPr>
          <w:rFonts w:ascii="Times New Roman" w:hAnsi="Times New Roman" w:eastAsia="Times New Roman" w:cs="Times New Roman"/>
        </w:rPr>
        <w:t xml:space="preserve">[0005]</w:t>
      </w:r>
      <w:r>
        <w:rPr>
          <w:rFonts w:ascii="Times New Roman" w:hAnsi="Times New Roman" w:eastAsia="Times New Roman" w:cs="Times New Roman"/>
        </w:rPr>
        <w:t xml:space="preserve"> от  [</w:t>
      </w:r>
      <w:r>
        <w:rPr>
          <w:rFonts w:ascii="Times New Roman" w:hAnsi="Times New Roman" w:eastAsia="Times New Roman" w:cs="Times New Roman"/>
        </w:rPr>
        <w:t xml:space="preserve">0006</w:t>
      </w:r>
      <w:r>
        <w:rPr>
          <w:rFonts w:ascii="Times New Roman" w:hAnsi="Times New Roman" w:eastAsia="Times New Roman" w:cs="Times New Roman"/>
        </w:rPr>
        <w:t xml:space="preserve">].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данном случае должник является заемщиком и залогодателем,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 отсутствуют.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</w:t>
      </w:r>
      <w:r>
        <w:rPr>
          <w:rFonts w:ascii="Times New Roman" w:hAnsi="Times New Roman" w:eastAsia="Times New Roman" w:cs="Times New Roman"/>
        </w:rPr>
        <w:t xml:space="preserve">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</w:t>
      </w:r>
      <w:r>
        <w:rPr>
          <w:rFonts w:ascii="Times New Roman" w:hAnsi="Times New Roman" w:eastAsia="Times New Roman" w:cs="Times New Roman"/>
        </w:rPr>
        <w:t xml:space="preserve">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П Р Е Д Е Л И Л: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</w:t>
      </w:r>
      <w:r>
        <w:rPr>
          <w:rFonts w:ascii="Times New Roman" w:hAnsi="Times New Roman" w:cs="Times New Roman"/>
        </w:rPr>
        <w:t xml:space="preserve">ве)» требования об установлении</w:t>
      </w:r>
      <w:r>
        <w:rPr>
          <w:rFonts w:ascii="Times New Roman" w:hAnsi="Times New Roman" w:eastAsia="Times New Roman" w:cs="Times New Roman"/>
        </w:rPr>
        <w:t xml:space="preserve"> 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Судебные расходы по уплате государственной пошлины в размере  [16] рубля, подлежащие взыска</w:t>
      </w:r>
      <w:r>
        <w:rPr>
          <w:rFonts w:ascii="Times New Roman" w:hAnsi="Times New Roman" w:cs="Times New Roman"/>
        </w:rPr>
        <w:t xml:space="preserve">нию с ИП [2.1] (дата рождения: [3],  ИНН [4], СНИЛС [5], место регистрации: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</w:t>
      </w:r>
      <w:r>
        <w:rPr>
          <w:rFonts w:ascii="Times New Roman" w:hAnsi="Times New Roman" w:eastAsia="Times New Roman" w:cs="Times New Roman"/>
        </w:rPr>
        <w:t xml:space="preserve">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9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Судья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[415]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mbria">
    <w:panose1 w:val="0204050305040603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65"/>
    <w:link w:val="6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65"/>
    <w:link w:val="6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65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65"/>
    <w:link w:val="6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65"/>
    <w:link w:val="6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65"/>
    <w:link w:val="6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65"/>
    <w:link w:val="6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65"/>
    <w:link w:val="6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65"/>
    <w:link w:val="6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665"/>
    <w:link w:val="677"/>
    <w:uiPriority w:val="10"/>
    <w:rPr>
      <w:sz w:val="48"/>
      <w:szCs w:val="48"/>
    </w:rPr>
  </w:style>
  <w:style w:type="character" w:styleId="39">
    <w:name w:val="Subtitle Char"/>
    <w:basedOn w:val="665"/>
    <w:link w:val="679"/>
    <w:uiPriority w:val="11"/>
    <w:rPr>
      <w:sz w:val="24"/>
      <w:szCs w:val="24"/>
    </w:rPr>
  </w:style>
  <w:style w:type="character" w:styleId="41">
    <w:name w:val="Quote Char"/>
    <w:link w:val="681"/>
    <w:uiPriority w:val="29"/>
    <w:rPr>
      <w:i/>
    </w:rPr>
  </w:style>
  <w:style w:type="character" w:styleId="43">
    <w:name w:val="Intense Quote Char"/>
    <w:link w:val="683"/>
    <w:uiPriority w:val="30"/>
    <w:rPr>
      <w:i/>
    </w:rPr>
  </w:style>
  <w:style w:type="character" w:styleId="45">
    <w:name w:val="Header Char"/>
    <w:basedOn w:val="665"/>
    <w:link w:val="685"/>
    <w:uiPriority w:val="99"/>
  </w:style>
  <w:style w:type="character" w:styleId="47">
    <w:name w:val="Footer Char"/>
    <w:basedOn w:val="665"/>
    <w:link w:val="687"/>
    <w:uiPriority w:val="99"/>
  </w:style>
  <w:style w:type="character" w:styleId="49">
    <w:name w:val="Caption Char"/>
    <w:basedOn w:val="665"/>
    <w:link w:val="6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18"/>
    <w:uiPriority w:val="99"/>
    <w:rPr>
      <w:sz w:val="18"/>
    </w:rPr>
  </w:style>
  <w:style w:type="character" w:styleId="181">
    <w:name w:val="Endnote Text Char"/>
    <w:link w:val="821"/>
    <w:uiPriority w:val="99"/>
    <w:rPr>
      <w:sz w:val="20"/>
    </w:rPr>
  </w:style>
  <w:style w:type="paragraph" w:styleId="655" w:default="1">
    <w:name w:val="Normal"/>
    <w:qFormat/>
  </w:style>
  <w:style w:type="paragraph" w:styleId="656">
    <w:name w:val="Heading 1"/>
    <w:basedOn w:val="655"/>
    <w:next w:val="655"/>
    <w:link w:val="66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57">
    <w:name w:val="Heading 2"/>
    <w:basedOn w:val="655"/>
    <w:next w:val="655"/>
    <w:link w:val="66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58">
    <w:name w:val="Heading 3"/>
    <w:basedOn w:val="655"/>
    <w:next w:val="655"/>
    <w:link w:val="67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59">
    <w:name w:val="Heading 4"/>
    <w:basedOn w:val="655"/>
    <w:next w:val="655"/>
    <w:link w:val="67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655"/>
    <w:next w:val="655"/>
    <w:link w:val="67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655"/>
    <w:next w:val="655"/>
    <w:link w:val="67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62">
    <w:name w:val="Heading 7"/>
    <w:basedOn w:val="655"/>
    <w:next w:val="655"/>
    <w:link w:val="67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63">
    <w:name w:val="Heading 8"/>
    <w:basedOn w:val="655"/>
    <w:next w:val="655"/>
    <w:link w:val="67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64">
    <w:name w:val="Heading 9"/>
    <w:basedOn w:val="655"/>
    <w:next w:val="655"/>
    <w:link w:val="67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 w:default="1">
    <w:name w:val="Default Paragraph Font"/>
    <w:uiPriority w:val="1"/>
    <w:semiHidden/>
    <w:unhideWhenUsed/>
  </w:style>
  <w:style w:type="table" w:styleId="6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7" w:default="1">
    <w:name w:val="No List"/>
    <w:uiPriority w:val="99"/>
    <w:semiHidden/>
    <w:unhideWhenUsed/>
  </w:style>
  <w:style w:type="character" w:styleId="668" w:customStyle="1">
    <w:name w:val="Заголовок 1 Знак"/>
    <w:link w:val="656"/>
    <w:uiPriority w:val="9"/>
    <w:rPr>
      <w:rFonts w:ascii="Arial" w:hAnsi="Arial" w:eastAsia="Arial" w:cs="Arial"/>
      <w:sz w:val="40"/>
      <w:szCs w:val="40"/>
    </w:rPr>
  </w:style>
  <w:style w:type="character" w:styleId="669" w:customStyle="1">
    <w:name w:val="Заголовок 2 Знак"/>
    <w:link w:val="657"/>
    <w:uiPriority w:val="9"/>
    <w:rPr>
      <w:rFonts w:ascii="Arial" w:hAnsi="Arial" w:eastAsia="Arial" w:cs="Arial"/>
      <w:sz w:val="34"/>
    </w:rPr>
  </w:style>
  <w:style w:type="character" w:styleId="670" w:customStyle="1">
    <w:name w:val="Заголовок 3 Знак"/>
    <w:link w:val="658"/>
    <w:uiPriority w:val="9"/>
    <w:rPr>
      <w:rFonts w:ascii="Arial" w:hAnsi="Arial" w:eastAsia="Arial" w:cs="Arial"/>
      <w:sz w:val="30"/>
      <w:szCs w:val="30"/>
    </w:rPr>
  </w:style>
  <w:style w:type="character" w:styleId="671" w:customStyle="1">
    <w:name w:val="Заголовок 4 Знак"/>
    <w:link w:val="659"/>
    <w:uiPriority w:val="9"/>
    <w:rPr>
      <w:rFonts w:ascii="Arial" w:hAnsi="Arial" w:eastAsia="Arial" w:cs="Arial"/>
      <w:b/>
      <w:bCs/>
      <w:sz w:val="26"/>
      <w:szCs w:val="26"/>
    </w:rPr>
  </w:style>
  <w:style w:type="character" w:styleId="672" w:customStyle="1">
    <w:name w:val="Заголовок 5 Знак"/>
    <w:link w:val="660"/>
    <w:uiPriority w:val="9"/>
    <w:rPr>
      <w:rFonts w:ascii="Arial" w:hAnsi="Arial" w:eastAsia="Arial" w:cs="Arial"/>
      <w:b/>
      <w:bCs/>
      <w:sz w:val="24"/>
      <w:szCs w:val="24"/>
    </w:rPr>
  </w:style>
  <w:style w:type="character" w:styleId="673" w:customStyle="1">
    <w:name w:val="Заголовок 6 Знак"/>
    <w:link w:val="661"/>
    <w:uiPriority w:val="9"/>
    <w:rPr>
      <w:rFonts w:ascii="Arial" w:hAnsi="Arial" w:eastAsia="Arial" w:cs="Arial"/>
      <w:b/>
      <w:bCs/>
      <w:sz w:val="22"/>
      <w:szCs w:val="22"/>
    </w:rPr>
  </w:style>
  <w:style w:type="character" w:styleId="674" w:customStyle="1">
    <w:name w:val="Заголовок 7 Знак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5" w:customStyle="1">
    <w:name w:val="Заголовок 8 Знак"/>
    <w:link w:val="663"/>
    <w:uiPriority w:val="9"/>
    <w:rPr>
      <w:rFonts w:ascii="Arial" w:hAnsi="Arial" w:eastAsia="Arial" w:cs="Arial"/>
      <w:i/>
      <w:iCs/>
      <w:sz w:val="22"/>
      <w:szCs w:val="22"/>
    </w:rPr>
  </w:style>
  <w:style w:type="character" w:styleId="676" w:customStyle="1">
    <w:name w:val="Заголовок 9 Знак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Title"/>
    <w:basedOn w:val="655"/>
    <w:next w:val="655"/>
    <w:link w:val="678"/>
    <w:uiPriority w:val="10"/>
    <w:qFormat/>
    <w:pPr>
      <w:contextualSpacing/>
      <w:spacing w:before="300"/>
    </w:pPr>
    <w:rPr>
      <w:sz w:val="48"/>
      <w:szCs w:val="48"/>
    </w:rPr>
  </w:style>
  <w:style w:type="character" w:styleId="678" w:customStyle="1">
    <w:name w:val="Заголовок Знак"/>
    <w:link w:val="677"/>
    <w:uiPriority w:val="10"/>
    <w:rPr>
      <w:sz w:val="48"/>
      <w:szCs w:val="48"/>
    </w:rPr>
  </w:style>
  <w:style w:type="paragraph" w:styleId="679">
    <w:name w:val="Subtitle"/>
    <w:basedOn w:val="655"/>
    <w:next w:val="655"/>
    <w:link w:val="680"/>
    <w:uiPriority w:val="11"/>
    <w:qFormat/>
    <w:pPr>
      <w:spacing w:before="200"/>
    </w:pPr>
    <w:rPr>
      <w:sz w:val="24"/>
      <w:szCs w:val="24"/>
    </w:rPr>
  </w:style>
  <w:style w:type="character" w:styleId="680" w:customStyle="1">
    <w:name w:val="Подзаголовок Знак"/>
    <w:link w:val="679"/>
    <w:uiPriority w:val="11"/>
    <w:rPr>
      <w:sz w:val="24"/>
      <w:szCs w:val="24"/>
    </w:rPr>
  </w:style>
  <w:style w:type="paragraph" w:styleId="681">
    <w:name w:val="Quote"/>
    <w:basedOn w:val="655"/>
    <w:next w:val="655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Цитата 2 Знак"/>
    <w:link w:val="681"/>
    <w:uiPriority w:val="29"/>
    <w:rPr>
      <w:i/>
    </w:rPr>
  </w:style>
  <w:style w:type="paragraph" w:styleId="683">
    <w:name w:val="Intense Quote"/>
    <w:basedOn w:val="655"/>
    <w:next w:val="655"/>
    <w:link w:val="6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Выделенная цитата Знак"/>
    <w:link w:val="683"/>
    <w:uiPriority w:val="30"/>
    <w:rPr>
      <w:i/>
    </w:rPr>
  </w:style>
  <w:style w:type="paragraph" w:styleId="685">
    <w:name w:val="Header"/>
    <w:basedOn w:val="65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Верхний колонтитул Знак"/>
    <w:link w:val="685"/>
    <w:uiPriority w:val="99"/>
  </w:style>
  <w:style w:type="paragraph" w:styleId="687">
    <w:name w:val="Footer"/>
    <w:basedOn w:val="65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 w:customStyle="1">
    <w:name w:val="Нижний колонтитул Знак"/>
    <w:link w:val="687"/>
    <w:uiPriority w:val="99"/>
  </w:style>
  <w:style w:type="paragraph" w:styleId="689">
    <w:name w:val="Caption"/>
    <w:basedOn w:val="655"/>
    <w:next w:val="655"/>
    <w:link w:val="69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690" w:customStyle="1">
    <w:name w:val="Название объекта Знак"/>
    <w:link w:val="689"/>
    <w:uiPriority w:val="35"/>
    <w:rPr>
      <w:b/>
      <w:bCs/>
      <w:color w:val="5b9bd5" w:themeColor="accent1"/>
      <w:sz w:val="18"/>
      <w:szCs w:val="18"/>
    </w:rPr>
  </w:style>
  <w:style w:type="table" w:styleId="691">
    <w:name w:val="Table Grid"/>
    <w:basedOn w:val="66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92" w:customStyle="1">
    <w:name w:val="Table Grid Light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3" w:customStyle="1">
    <w:name w:val="Таблица простая 11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 w:customStyle="1">
    <w:name w:val="Таблица простая 21"/>
    <w:basedOn w:val="66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 w:customStyle="1">
    <w:name w:val="Таблица простая 3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 w:customStyle="1">
    <w:name w:val="Таблица простая 4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Таблица простая 5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 w:customStyle="1">
    <w:name w:val="Таблица-сетка 1 светл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 w:customStyle="1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Таблица-сетк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Таблица-сетк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Таблица-сетка 4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 w:customStyle="1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21" w:customStyle="1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22" w:customStyle="1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3" w:customStyle="1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4" w:customStyle="1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5" w:customStyle="1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6" w:customStyle="1">
    <w:name w:val="Таблица-сетк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0" w:customStyle="1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1" w:customStyle="1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32" w:customStyle="1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3" w:customStyle="1">
    <w:name w:val="Таблица-сетк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4" w:customStyle="1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35" w:customStyle="1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6" w:customStyle="1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7" w:customStyle="1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8" w:customStyle="1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9" w:customStyle="1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0" w:customStyle="1">
    <w:name w:val="Таблица-сетк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Список-таблица 1 светлая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Список-таблиц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8" w:customStyle="1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9" w:customStyle="1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60" w:customStyle="1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1" w:customStyle="1">
    <w:name w:val="Список-таблиц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Список-таблица 4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Список-таблиц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 w:customStyle="1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0" w:customStyle="1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1" w:customStyle="1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2" w:customStyle="1">
    <w:name w:val="Список-таблиц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3" w:customStyle="1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84" w:customStyle="1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6" w:customStyle="1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88" w:customStyle="1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9" w:customStyle="1">
    <w:name w:val="Список-таблиц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7" w:customStyle="1">
    <w:name w:val="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8" w:customStyle="1">
    <w:name w:val="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9" w:customStyle="1">
    <w:name w:val="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0" w:customStyle="1">
    <w:name w:val="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1" w:customStyle="1">
    <w:name w:val="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2" w:customStyle="1">
    <w:name w:val="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3" w:customStyle="1">
    <w:name w:val="Bordered &amp; 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4" w:customStyle="1">
    <w:name w:val="Bordered &amp; 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5" w:customStyle="1">
    <w:name w:val="Bordered &amp; 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6" w:customStyle="1">
    <w:name w:val="Bordered &amp; 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7" w:customStyle="1">
    <w:name w:val="Bordered &amp; 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8" w:customStyle="1">
    <w:name w:val="Bordered &amp; 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9" w:customStyle="1">
    <w:name w:val="Bordered &amp; 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0" w:customStyle="1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1" w:customStyle="1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12" w:customStyle="1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3" w:customStyle="1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4" w:customStyle="1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5" w:customStyle="1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16" w:customStyle="1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563c1" w:themeColor="hyperlink"/>
      <w:u w:val="single"/>
    </w:rPr>
  </w:style>
  <w:style w:type="paragraph" w:styleId="818">
    <w:name w:val="footnote text"/>
    <w:basedOn w:val="65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 w:customStyle="1">
    <w:name w:val="Текст сноски Знак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65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 w:customStyle="1">
    <w:name w:val="Текст концевой сноски Знак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655"/>
    <w:next w:val="655"/>
    <w:uiPriority w:val="39"/>
    <w:unhideWhenUsed/>
    <w:pPr>
      <w:spacing w:after="57"/>
    </w:pPr>
  </w:style>
  <w:style w:type="paragraph" w:styleId="825">
    <w:name w:val="toc 2"/>
    <w:basedOn w:val="655"/>
    <w:next w:val="655"/>
    <w:uiPriority w:val="39"/>
    <w:unhideWhenUsed/>
    <w:pPr>
      <w:ind w:left="283"/>
      <w:spacing w:after="57"/>
    </w:pPr>
  </w:style>
  <w:style w:type="paragraph" w:styleId="826">
    <w:name w:val="toc 3"/>
    <w:basedOn w:val="655"/>
    <w:next w:val="655"/>
    <w:uiPriority w:val="39"/>
    <w:unhideWhenUsed/>
    <w:pPr>
      <w:ind w:left="567"/>
      <w:spacing w:after="57"/>
    </w:pPr>
  </w:style>
  <w:style w:type="paragraph" w:styleId="827">
    <w:name w:val="toc 4"/>
    <w:basedOn w:val="655"/>
    <w:next w:val="655"/>
    <w:uiPriority w:val="39"/>
    <w:unhideWhenUsed/>
    <w:pPr>
      <w:ind w:left="850"/>
      <w:spacing w:after="57"/>
    </w:pPr>
  </w:style>
  <w:style w:type="paragraph" w:styleId="828">
    <w:name w:val="toc 5"/>
    <w:basedOn w:val="655"/>
    <w:next w:val="655"/>
    <w:uiPriority w:val="39"/>
    <w:unhideWhenUsed/>
    <w:pPr>
      <w:ind w:left="1134"/>
      <w:spacing w:after="57"/>
    </w:pPr>
  </w:style>
  <w:style w:type="paragraph" w:styleId="829">
    <w:name w:val="toc 6"/>
    <w:basedOn w:val="655"/>
    <w:next w:val="655"/>
    <w:uiPriority w:val="39"/>
    <w:unhideWhenUsed/>
    <w:pPr>
      <w:ind w:left="1417"/>
      <w:spacing w:after="57"/>
    </w:pPr>
  </w:style>
  <w:style w:type="paragraph" w:styleId="830">
    <w:name w:val="toc 7"/>
    <w:basedOn w:val="655"/>
    <w:next w:val="655"/>
    <w:uiPriority w:val="39"/>
    <w:unhideWhenUsed/>
    <w:pPr>
      <w:ind w:left="1701"/>
      <w:spacing w:after="57"/>
    </w:pPr>
  </w:style>
  <w:style w:type="paragraph" w:styleId="831">
    <w:name w:val="toc 8"/>
    <w:basedOn w:val="655"/>
    <w:next w:val="655"/>
    <w:uiPriority w:val="39"/>
    <w:unhideWhenUsed/>
    <w:pPr>
      <w:ind w:left="1984"/>
      <w:spacing w:after="57"/>
    </w:pPr>
  </w:style>
  <w:style w:type="paragraph" w:styleId="832">
    <w:name w:val="toc 9"/>
    <w:basedOn w:val="655"/>
    <w:next w:val="655"/>
    <w:uiPriority w:val="39"/>
    <w:unhideWhenUsed/>
    <w:pPr>
      <w:ind w:left="2268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655"/>
    <w:next w:val="655"/>
    <w:uiPriority w:val="99"/>
    <w:unhideWhenUsed/>
    <w:pPr>
      <w:spacing w:after="0"/>
    </w:pPr>
  </w:style>
  <w:style w:type="paragraph" w:styleId="835">
    <w:name w:val="No Spacing"/>
    <w:basedOn w:val="655"/>
    <w:uiPriority w:val="1"/>
    <w:qFormat/>
    <w:pPr>
      <w:spacing w:after="0" w:line="240" w:lineRule="auto"/>
    </w:pPr>
  </w:style>
  <w:style w:type="paragraph" w:styleId="836">
    <w:name w:val="List Paragraph"/>
    <w:basedOn w:val="655"/>
    <w:uiPriority w:val="34"/>
    <w:qFormat/>
    <w:pPr>
      <w:contextualSpacing/>
      <w:ind w:left="720"/>
    </w:pPr>
  </w:style>
  <w:style w:type="character" w:styleId="837" w:customStyle="1">
    <w:name w:val="Основной текст_"/>
    <w:rPr>
      <w:rFonts w:ascii="Cambria" w:hAnsi="Cambria" w:eastAsia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rets-pf@sigma.sbrf.ru</cp:lastModifiedBy>
  <cp:revision>25</cp:revision>
  <dcterms:created xsi:type="dcterms:W3CDTF">2025-12-08T20:29:00Z</dcterms:created>
  <dcterms:modified xsi:type="dcterms:W3CDTF">2026-10-15T12:31:54Z</dcterms:modified>
</cp:coreProperties>
</file>