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988"/>
          <w:lang w:val="en-US"/>
        </w:rPr>
        <w:t xml:space="preserve">info@</w:t>
      </w:r>
      <w:r>
        <w:rPr>
          <w:rStyle w:val="988"/>
          <w:lang w:val="en-US"/>
        </w:rPr>
        <w:t xml:space="preserve">rostov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arbitr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ru</w:t>
      </w:r>
      <w:r>
        <w:rPr>
          <w:rStyle w:val="988"/>
          <w:lang w:val="en-US"/>
        </w:rPr>
        <w:fldChar w:fldCharType="end"/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highlight w:val="none"/>
        </w:rPr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t xml:space="preserve">индивидуального предпринимателя [2.1] (ОГРНИП [4.1], ИНН [4], адрес регистрации: [6])</w:t>
      </w:r>
      <w:r/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widowControl w:val="off"/>
      </w:pPr>
      <w:r>
        <w:t xml:space="preserve">установил: решением Арбитражного суда Ростовской области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t xml:space="preserve">утвержден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[8]</w:t>
      </w:r>
      <w:r>
        <w:t xml:space="preserve">. </w:t>
      </w:r>
      <w:r/>
    </w:p>
    <w:p>
      <w:pPr>
        <w:ind w:firstLine="709"/>
        <w:jc w:val="both"/>
        <w:widowControl w:val="off"/>
      </w:pPr>
      <w:r>
        <w:t xml:space="preserve">Сведения о введении процедуры реализации имущества должника опубликованы</w:t>
      </w:r>
      <w:r>
        <w:t xml:space="preserve"> [на сайте ЕФРСБ №[9] от </w:t>
      </w:r>
      <w:r>
        <w:t xml:space="preserve">[11]]</w:t>
      </w:r>
      <w:r>
        <w:t xml:space="preserve"> в газете «Коммерсантъ» №</w:t>
      </w:r>
      <w:r>
        <w:t xml:space="preserve">[67]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[68]</w:t>
      </w:r>
      <w:r>
        <w:t xml:space="preserve"> 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988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988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988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20</cp:revision>
  <dcterms:created xsi:type="dcterms:W3CDTF">2026-02-17T07:57:00Z</dcterms:created>
  <dcterms:modified xsi:type="dcterms:W3CDTF">2026-10-15T12:37:35Z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