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4FAA4A" w14:textId="77777777" w:rsidR="004A347C" w:rsidRDefault="007D3E08">
      <w:pPr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7A732819" wp14:editId="2ED64377">
                <wp:extent cx="685800" cy="647700"/>
                <wp:effectExtent l="0" t="0" r="0" b="0"/>
                <wp:docPr id="1" name="Рисунок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rrowheads="1"/>
                        </pic:cNvPicPr>
                      </pic:nvPicPr>
                      <pic:blipFill>
                        <a:blip r:embed="rId6">
                          <a:grayscl/>
                        </a:blip>
                        <a:stretch/>
                      </pic:blipFill>
                      <pic:spPr bwMode="auto">
                        <a:xfrm>
                          <a:off x="0" y="0"/>
                          <a:ext cx="685800" cy="647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54.00pt;height:51.00pt;mso-wrap-distance-left:0.00pt;mso-wrap-distance-top:0.00pt;mso-wrap-distance-right:0.00pt;mso-wrap-distance-bottom:0.00pt;z-index:1;" stroked="f">
                <v:imagedata r:id="rId10" o:title=""/>
                <o:lock v:ext="edit" rotation="t"/>
              </v:shape>
            </w:pict>
          </mc:Fallback>
        </mc:AlternateContent>
      </w:r>
    </w:p>
    <w:p w14:paraId="5D44DD34" w14:textId="77777777" w:rsidR="004A347C" w:rsidRDefault="004A347C">
      <w:pPr>
        <w:spacing w:line="360" w:lineRule="auto"/>
        <w:jc w:val="center"/>
      </w:pPr>
    </w:p>
    <w:p w14:paraId="35E70BB4" w14:textId="77777777" w:rsidR="004A347C" w:rsidRDefault="007D3E08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АРБИТРАЖНЫЙ СУД РОСТОВСКОЙ ОБЛАСТИ</w:t>
      </w:r>
    </w:p>
    <w:p w14:paraId="7BB8BCDF" w14:textId="77777777" w:rsidR="004A347C" w:rsidRDefault="004A347C">
      <w:pPr>
        <w:spacing w:line="360" w:lineRule="auto"/>
        <w:jc w:val="center"/>
        <w:outlineLvl w:val="0"/>
        <w:rPr>
          <w:b/>
        </w:rPr>
      </w:pPr>
    </w:p>
    <w:p w14:paraId="7932B7F6" w14:textId="77777777" w:rsidR="004A347C" w:rsidRDefault="007D3E08">
      <w:pPr>
        <w:spacing w:line="360" w:lineRule="auto"/>
        <w:jc w:val="center"/>
        <w:outlineLvl w:val="0"/>
        <w:rPr>
          <w:b/>
          <w:sz w:val="28"/>
          <w:szCs w:val="28"/>
        </w:rPr>
      </w:pPr>
      <w:r>
        <w:rPr>
          <w:b/>
          <w:sz w:val="28"/>
          <w:szCs w:val="28"/>
        </w:rPr>
        <w:t>О П Р Е Д Е Л Е Н И Е</w:t>
      </w:r>
    </w:p>
    <w:p w14:paraId="29C84970" w14:textId="77777777" w:rsidR="004A347C" w:rsidRDefault="007D3E08">
      <w:pPr>
        <w:jc w:val="center"/>
        <w:outlineLvl w:val="0"/>
      </w:pPr>
      <w:r>
        <w:t>о возвращении заявления</w:t>
      </w:r>
    </w:p>
    <w:p w14:paraId="03B604EA" w14:textId="77777777" w:rsidR="004A347C" w:rsidRDefault="007D3E08">
      <w:pPr>
        <w:spacing w:line="360" w:lineRule="auto"/>
      </w:pPr>
      <w:r>
        <w:t xml:space="preserve">г. </w:t>
      </w:r>
      <w:proofErr w:type="spellStart"/>
      <w:r>
        <w:t>Ростов</w:t>
      </w:r>
      <w:proofErr w:type="spellEnd"/>
      <w:r>
        <w:t>-на-Дону</w:t>
      </w:r>
    </w:p>
    <w:p w14:paraId="78E73376" w14:textId="77777777" w:rsidR="004A347C" w:rsidRDefault="007D3E08">
      <w:pPr>
        <w:tabs>
          <w:tab w:val="right" w:pos="9354"/>
        </w:tabs>
        <w:rPr>
          <w:bCs/>
        </w:rPr>
      </w:pPr>
      <w:r>
        <w:t>[66]</w:t>
      </w:r>
      <w:r>
        <w:tab/>
        <w:t>Дело № А53-[1]/[22]</w:t>
      </w:r>
    </w:p>
    <w:p w14:paraId="58AE2762" w14:textId="77777777" w:rsidR="004A347C" w:rsidRDefault="004A347C">
      <w:pPr>
        <w:ind w:firstLine="709"/>
        <w:jc w:val="both"/>
      </w:pPr>
    </w:p>
    <w:p w14:paraId="2C29BBA3" w14:textId="77777777" w:rsidR="004A347C" w:rsidRDefault="007D3E08">
      <w:pPr>
        <w:ind w:firstLine="708"/>
      </w:pPr>
      <w:r>
        <w:t xml:space="preserve">Арбитражный суд Ростовской области  в составе судьи [415]., </w:t>
      </w:r>
    </w:p>
    <w:p w14:paraId="5810184E" w14:textId="77777777" w:rsidR="004A347C" w:rsidRDefault="007D3E08">
      <w:r>
        <w:t>ознакомившись с заявлением [989] (ИНН [991], ОГРН [990], место нахождения: [988])</w:t>
      </w:r>
    </w:p>
    <w:p w14:paraId="7C815C19" w14:textId="77777777" w:rsidR="004A347C" w:rsidRDefault="007D3E08">
      <w:r>
        <w:t>о включении в реестр требований кредиторов  в рамках дела о несостоятельности (банкротстве) Глава КФХ [2] (ОГРН [3], ИНН [4], адрес: [6]),</w:t>
      </w:r>
    </w:p>
    <w:p w14:paraId="09B71D47" w14:textId="77777777" w:rsidR="004A347C" w:rsidRDefault="004A347C"/>
    <w:p w14:paraId="50EAD960" w14:textId="77777777" w:rsidR="004A347C" w:rsidRDefault="007D3E08" w:rsidP="00780B0C">
      <w:pPr>
        <w:ind w:firstLine="708"/>
      </w:pPr>
      <w:r>
        <w:t>установил: решением Арбитражного суда Рос</w:t>
      </w:r>
      <w:r>
        <w:t>товской области от [7] должник признан несостоятельным (банкротом), в отношении него введена процедура конкурсного производства. Конкурсным управляющим утвержден [8].</w:t>
      </w:r>
    </w:p>
    <w:p w14:paraId="6C6CC7BF" w14:textId="2437E63F" w:rsidR="00780B0C" w:rsidRDefault="007D3E08" w:rsidP="00780B0C">
      <w:pPr>
        <w:ind w:firstLine="708"/>
      </w:pPr>
      <w:r>
        <w:t>Сведения о признании должника банкротом и введении процедуры конкурсного производства опу</w:t>
      </w:r>
      <w:r>
        <w:t>бликованы в газете «Коммерсантъ» [67] от [68]</w:t>
      </w:r>
      <w:r w:rsidR="00780B0C">
        <w:t>.</w:t>
      </w:r>
    </w:p>
    <w:p w14:paraId="5CA214A3" w14:textId="5754D499" w:rsidR="004A347C" w:rsidRDefault="007D3E08" w:rsidP="00780B0C">
      <w:pPr>
        <w:ind w:firstLine="708"/>
      </w:pPr>
      <w:r>
        <w:t>[23] (согласно штампу канцелярии); [24] посредством сервиса электронной подачи документов «Мой Арбитр») [989] обратилось с заявлением о включении в третью очередь реестра требований кредиторов должника задолже</w:t>
      </w:r>
      <w:r>
        <w:t xml:space="preserve">нности в размере [12] руб., как обеспеченной залогом имущества: [1221]. </w:t>
      </w:r>
    </w:p>
    <w:p w14:paraId="50FE861C" w14:textId="77777777" w:rsidR="004A347C" w:rsidRDefault="004A347C">
      <w:pPr>
        <w:ind w:firstLine="708"/>
        <w:jc w:val="both"/>
      </w:pPr>
    </w:p>
    <w:p w14:paraId="4F6BB24B" w14:textId="77777777" w:rsidR="004A347C" w:rsidRDefault="007D3E08">
      <w:pPr>
        <w:shd w:val="clear" w:color="auto" w:fill="FFFFFF"/>
        <w:ind w:firstLine="708"/>
        <w:jc w:val="both"/>
      </w:pPr>
      <w:r>
        <w:t>[86]</w:t>
      </w:r>
    </w:p>
    <w:p w14:paraId="71A3C414" w14:textId="77777777" w:rsidR="004A347C" w:rsidRDefault="007D3E08">
      <w:pPr>
        <w:ind w:firstLine="709"/>
        <w:jc w:val="both"/>
      </w:pPr>
      <w:r>
        <w:t>Судом вынесены определения об оставлении заявления без движения и продлении срока оставления заявления без движения, которые размещены на официальном сайте в сети Интернет.</w:t>
      </w:r>
    </w:p>
    <w:p w14:paraId="32A6357E" w14:textId="77777777" w:rsidR="004A347C" w:rsidRDefault="007D3E08">
      <w:pPr>
        <w:ind w:firstLine="709"/>
        <w:jc w:val="both"/>
      </w:pPr>
      <w:r>
        <w:t xml:space="preserve">Суд </w:t>
      </w:r>
      <w:r>
        <w:t>обязал заявителя представить доказательства оплаты государственной пошлины, в установленном порядке и размере, либо документы в обоснование ходатайства о предоставлении отсрочки государственной пошлины (подтвержденный налоговым органом перечень расчетных и</w:t>
      </w:r>
      <w:r>
        <w:t xml:space="preserve"> иных счетов, наименования и адреса банков и других кредитных учреждений, в которых эти счета открыты (включая счета филиалов и представительств юридического лица - заинтересованной стороны); подтвержденные банком (банками) данные об отсутствии на соответс</w:t>
      </w:r>
      <w:r>
        <w:t>твующем счете (счетах) денежных средств в размере, необходимом для уплаты государственной пошлины, а также об общей сумме задолженности владельца счета (счетов) по исполнительным листам и платежным документам); или судебный акт, подтверждающий взыскание за</w:t>
      </w:r>
      <w:r>
        <w:t>долженности по кредитным договорам.</w:t>
      </w:r>
    </w:p>
    <w:p w14:paraId="2D5EF0ED" w14:textId="77777777" w:rsidR="004A347C" w:rsidRDefault="007D3E08">
      <w:pPr>
        <w:ind w:firstLine="709"/>
        <w:jc w:val="both"/>
      </w:pPr>
      <w:r>
        <w:t xml:space="preserve">Определения не исполнены. </w:t>
      </w:r>
    </w:p>
    <w:p w14:paraId="2E4D78E2" w14:textId="77777777" w:rsidR="004A347C" w:rsidRDefault="007D3E08">
      <w:pPr>
        <w:ind w:firstLine="706"/>
        <w:jc w:val="both"/>
      </w:pPr>
      <w:r>
        <w:t>Суд разъяснил заявителю, что согласно п. 8 постановления Пленума Верховного Суда РФ от 17.12.2024 № 40 «О некоторых вопросах, связанных с введением в действие Федерального закона от 29 мая 2024 года № 107-ФЗ «О внесении изменений в Федеральный закон «О нес</w:t>
      </w:r>
      <w:r>
        <w:t xml:space="preserve">остоятельности (банкротстве)» и статью 223 Арбитражного процессуального кодекса Российской Федерации» (далее – постановление № 40) лица, участвующие в деле о банкротстве, считаются извещенными о вынесении определения о принятии заявления к </w:t>
      </w:r>
      <w:r>
        <w:lastRenderedPageBreak/>
        <w:t xml:space="preserve">производству на </w:t>
      </w:r>
      <w:r>
        <w:t>следующий день после дня размещения текста судебного акта в установленном порядке в информационно-телекоммуникационной сети (Интернет) без дополнительного направления копии определения о принятии на бумажном носителе (абзац второй части 1 статьи 122, часть</w:t>
      </w:r>
      <w:r>
        <w:t xml:space="preserve"> 1 статьи 186 АПК РФ). </w:t>
      </w:r>
    </w:p>
    <w:p w14:paraId="6D234633" w14:textId="77777777" w:rsidR="004A347C" w:rsidRDefault="007D3E08">
      <w:pPr>
        <w:ind w:firstLine="706"/>
        <w:jc w:val="both"/>
      </w:pPr>
      <w:r>
        <w:t xml:space="preserve">Как разъяснено в </w:t>
      </w:r>
      <w:proofErr w:type="spellStart"/>
      <w:r>
        <w:t>абз</w:t>
      </w:r>
      <w:proofErr w:type="spellEnd"/>
      <w:r>
        <w:t xml:space="preserve">. 1 п. 36 пленума № 40, в силу </w:t>
      </w:r>
      <w:hyperlink r:id="rId11" w:tooltip="https://login.consultant.ru/link/?req=doc&amp;base=LAW&amp;n=482731&amp;dst=1988" w:history="1">
        <w:r>
          <w:rPr>
            <w:rStyle w:val="afc"/>
            <w:color w:val="auto"/>
            <w:u w:val="none"/>
          </w:rPr>
          <w:t>части 1 ст</w:t>
        </w:r>
        <w:r>
          <w:rPr>
            <w:rStyle w:val="afc"/>
            <w:color w:val="auto"/>
            <w:u w:val="none"/>
          </w:rPr>
          <w:t>атьи 177</w:t>
        </w:r>
      </w:hyperlink>
      <w:r>
        <w:t xml:space="preserve"> и </w:t>
      </w:r>
      <w:hyperlink r:id="rId12" w:tooltip="https://login.consultant.ru/link/?req=doc&amp;base=LAW&amp;n=482731&amp;dst=1992" w:history="1">
        <w:r>
          <w:rPr>
            <w:rStyle w:val="afc"/>
            <w:color w:val="auto"/>
            <w:u w:val="none"/>
          </w:rPr>
          <w:t>части 1 статьи 186</w:t>
        </w:r>
      </w:hyperlink>
      <w:r>
        <w:t xml:space="preserve"> АПК РФ судебные акты направляются лицам, участвующим в </w:t>
      </w:r>
      <w:r>
        <w:t>деле, посредством их размещения в информационно-телекоммуникационной сети «Интернет». Указанные лица считаются получившими судебный акт по истечении следующего дня после дня его размещения в информационно-телекоммуникационной сети «Интернет».</w:t>
      </w:r>
    </w:p>
    <w:p w14:paraId="7D48F308" w14:textId="77777777" w:rsidR="004A347C" w:rsidRDefault="007D3E08">
      <w:pPr>
        <w:ind w:firstLine="706"/>
        <w:jc w:val="both"/>
      </w:pPr>
      <w:r>
        <w:t>Изложенный по</w:t>
      </w:r>
      <w:r>
        <w:t>рядок применим как к документарным, так и к иным обособленным спорам по делу о банкротстве.</w:t>
      </w:r>
    </w:p>
    <w:p w14:paraId="72A0784F" w14:textId="77777777" w:rsidR="004A347C" w:rsidRDefault="007D3E08">
      <w:pPr>
        <w:ind w:firstLine="706"/>
        <w:jc w:val="both"/>
      </w:pPr>
      <w:r>
        <w:t>Принимая во внимание, что заявитель является непосредственным участником дела о банкротстве – кредитором, в дальнейшем он самостоятельно принимает меры по получению</w:t>
      </w:r>
      <w:r>
        <w:t xml:space="preserve"> информации о движении дела и принятых судебных актах, в том числе о каждом новом обособленном споре в деле о банкротстве.</w:t>
      </w:r>
    </w:p>
    <w:p w14:paraId="11345907" w14:textId="77777777" w:rsidR="004A347C" w:rsidRDefault="007D3E08">
      <w:pPr>
        <w:ind w:firstLine="708"/>
        <w:jc w:val="both"/>
      </w:pPr>
      <w:r>
        <w:t>В установленный срок доказательства, подтверждающие устранение обстоятельств, послуживших основанием для оставления заявления без дви</w:t>
      </w:r>
      <w:r>
        <w:t>жения, заявителем в арбитражный суд не представлены, ходатайство заявителя о продлении процессуального срока также не поступало, в связи с чем на основании ч. 4 ст. 128 АПК РФ заявление подлежит возвращению.</w:t>
      </w:r>
    </w:p>
    <w:p w14:paraId="20480B6E" w14:textId="77777777" w:rsidR="004A347C" w:rsidRDefault="007D3E08">
      <w:pPr>
        <w:shd w:val="clear" w:color="auto" w:fill="FFFFFF"/>
        <w:ind w:firstLine="708"/>
        <w:jc w:val="both"/>
      </w:pPr>
      <w:r>
        <w:t>При этом суд разъясняет, что возвращение заявлен</w:t>
      </w:r>
      <w:r>
        <w:t>ия не препятствует повторному обращению с таким же требованием в арбитражный суд в общем порядке после устранения обстоятельств, послуживших основанием для его возвращения (ч. 6 ст. 129 АПК РФ).</w:t>
      </w:r>
    </w:p>
    <w:p w14:paraId="06EB430C" w14:textId="77777777" w:rsidR="004A347C" w:rsidRDefault="007D3E08">
      <w:pPr>
        <w:ind w:firstLine="708"/>
        <w:jc w:val="both"/>
      </w:pPr>
      <w:r>
        <w:t>На основании изложенного, руководствуясь статьями 128, 184, 1</w:t>
      </w:r>
      <w:r>
        <w:t xml:space="preserve">85  Арбитражного процессуального кодекса Российской Федерации, арбитражный суд </w:t>
      </w:r>
    </w:p>
    <w:p w14:paraId="0A77CCCC" w14:textId="77777777" w:rsidR="004A347C" w:rsidRDefault="004A347C">
      <w:pPr>
        <w:ind w:firstLine="708"/>
        <w:jc w:val="both"/>
      </w:pPr>
    </w:p>
    <w:p w14:paraId="30F872BF" w14:textId="77777777" w:rsidR="004A347C" w:rsidRDefault="007D3E08">
      <w:pPr>
        <w:jc w:val="center"/>
        <w:rPr>
          <w:b/>
        </w:rPr>
      </w:pPr>
      <w:r>
        <w:rPr>
          <w:b/>
        </w:rPr>
        <w:t>О П Р Е Д Е Л И Л:</w:t>
      </w:r>
    </w:p>
    <w:p w14:paraId="4656CB8C" w14:textId="77777777" w:rsidR="004A347C" w:rsidRDefault="007D3E08">
      <w:pPr>
        <w:ind w:firstLine="709"/>
        <w:jc w:val="both"/>
      </w:pPr>
      <w:r>
        <w:t>Заявление возвратить.</w:t>
      </w:r>
    </w:p>
    <w:p w14:paraId="0ACBA29D" w14:textId="77777777" w:rsidR="004A347C" w:rsidRDefault="007D3E08">
      <w:pPr>
        <w:ind w:firstLine="708"/>
        <w:jc w:val="both"/>
      </w:pPr>
      <w:r>
        <w:t>Заявителю разъясняется, что в соответствии с частью 6 статьи 129 Арбитражного процессуального кодекса Российской Федерации возвращение</w:t>
      </w:r>
      <w:r>
        <w:t xml:space="preserve"> искового заявления не препятствует повторному обращению с таким же требованием в арбитражный суд в общем порядке после устранения обстоятельств, послуживших основанием для его возвращения.</w:t>
      </w:r>
    </w:p>
    <w:p w14:paraId="412A11F7" w14:textId="77777777" w:rsidR="004A347C" w:rsidRDefault="007D3E08">
      <w:pPr>
        <w:tabs>
          <w:tab w:val="left" w:pos="720"/>
          <w:tab w:val="left" w:pos="7020"/>
        </w:tabs>
        <w:ind w:firstLine="709"/>
        <w:jc w:val="both"/>
      </w:pPr>
      <w:r>
        <w:tab/>
        <w:t xml:space="preserve">Определение суда может быть обжаловано в апелляционном порядке в </w:t>
      </w:r>
      <w:r>
        <w:t>Пятнадцатый арбитражный апелляционный суд в течение месяца с даты вынесения определения через суд, вынесший определение.</w:t>
      </w:r>
    </w:p>
    <w:p w14:paraId="05FFFBAA" w14:textId="77777777" w:rsidR="004A347C" w:rsidRDefault="004A347C">
      <w:pPr>
        <w:jc w:val="both"/>
      </w:pPr>
    </w:p>
    <w:p w14:paraId="48664E72" w14:textId="77777777" w:rsidR="004A347C" w:rsidRDefault="007D3E08">
      <w:pPr>
        <w:tabs>
          <w:tab w:val="right" w:pos="9354"/>
        </w:tabs>
        <w:jc w:val="both"/>
        <w:rPr>
          <w:lang w:val="en-US"/>
        </w:rPr>
      </w:pPr>
      <w:r>
        <w:t>Судья</w:t>
      </w:r>
      <w:r>
        <w:tab/>
      </w:r>
      <w:r>
        <w:rPr>
          <w:lang w:val="en-US"/>
        </w:rPr>
        <w:t>[415]</w:t>
      </w:r>
    </w:p>
    <w:p w14:paraId="17DC5344" w14:textId="77777777" w:rsidR="004A347C" w:rsidRDefault="004A347C"/>
    <w:sectPr w:rsidR="004A347C">
      <w:headerReference w:type="default" r:id="rId13"/>
      <w:headerReference w:type="first" r:id="rId14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B9EF6E" w14:textId="77777777" w:rsidR="007D3E08" w:rsidRDefault="007D3E08">
      <w:r>
        <w:separator/>
      </w:r>
    </w:p>
  </w:endnote>
  <w:endnote w:type="continuationSeparator" w:id="0">
    <w:p w14:paraId="3B4EFB45" w14:textId="77777777" w:rsidR="007D3E08" w:rsidRDefault="007D3E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auto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F57748" w14:textId="77777777" w:rsidR="007D3E08" w:rsidRDefault="007D3E08">
      <w:r>
        <w:separator/>
      </w:r>
    </w:p>
  </w:footnote>
  <w:footnote w:type="continuationSeparator" w:id="0">
    <w:p w14:paraId="314F6AD6" w14:textId="77777777" w:rsidR="007D3E08" w:rsidRDefault="007D3E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659"/>
      <w:gridCol w:w="4695"/>
    </w:tblGrid>
    <w:tr w:rsidR="004A347C" w14:paraId="6180FFB1" w14:textId="77777777">
      <w:tc>
        <w:tcPr>
          <w:tcW w:w="4785" w:type="dxa"/>
        </w:tcPr>
        <w:p w14:paraId="2C30DA75" w14:textId="77777777" w:rsidR="004A347C" w:rsidRDefault="007D3E08">
          <w:pPr>
            <w:pStyle w:val="ac"/>
            <w:jc w:val="right"/>
            <w:rPr>
              <w:sz w:val="20"/>
              <w:szCs w:val="20"/>
            </w:rPr>
          </w:pPr>
          <w:r>
            <w:rPr>
              <w:rStyle w:val="afa"/>
              <w:sz w:val="20"/>
              <w:szCs w:val="20"/>
            </w:rPr>
            <w:fldChar w:fldCharType="begin"/>
          </w:r>
          <w:r>
            <w:rPr>
              <w:rStyle w:val="afa"/>
              <w:sz w:val="20"/>
              <w:szCs w:val="20"/>
            </w:rPr>
            <w:instrText xml:space="preserve"> PAGE </w:instrText>
          </w:r>
          <w:r>
            <w:rPr>
              <w:rStyle w:val="afa"/>
              <w:sz w:val="20"/>
              <w:szCs w:val="20"/>
            </w:rPr>
            <w:fldChar w:fldCharType="separate"/>
          </w:r>
          <w:r>
            <w:rPr>
              <w:rStyle w:val="afa"/>
              <w:sz w:val="20"/>
              <w:szCs w:val="20"/>
            </w:rPr>
            <w:t>2</w:t>
          </w:r>
          <w:r>
            <w:rPr>
              <w:rStyle w:val="afa"/>
              <w:sz w:val="20"/>
              <w:szCs w:val="20"/>
            </w:rPr>
            <w:fldChar w:fldCharType="end"/>
          </w:r>
        </w:p>
      </w:tc>
      <w:tc>
        <w:tcPr>
          <w:tcW w:w="4785" w:type="dxa"/>
        </w:tcPr>
        <w:p w14:paraId="693997CA" w14:textId="77777777" w:rsidR="004A347C" w:rsidRDefault="007D3E08">
          <w:pPr>
            <w:pStyle w:val="ac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/>
          </w:r>
        </w:p>
      </w:tc>
    </w:tr>
    <w:tr w:rsidR="004A347C" w14:paraId="5AEC8584" w14:textId="77777777">
      <w:tc>
        <w:tcPr>
          <w:tcW w:w="4785" w:type="dxa"/>
        </w:tcPr>
        <w:p w14:paraId="2CDE04F1" w14:textId="77777777" w:rsidR="004A347C" w:rsidRDefault="004A347C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5C704AA5" w14:textId="77777777" w:rsidR="004A347C" w:rsidRDefault="004A347C">
          <w:pPr>
            <w:pStyle w:val="ac"/>
            <w:rPr>
              <w:sz w:val="20"/>
              <w:szCs w:val="20"/>
            </w:rPr>
          </w:pPr>
        </w:p>
      </w:tc>
    </w:tr>
  </w:tbl>
  <w:p w14:paraId="3ECAF02C" w14:textId="77777777" w:rsidR="004A347C" w:rsidRDefault="004A347C">
    <w:pPr>
      <w:pStyle w:val="ac"/>
      <w:rPr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677"/>
      <w:gridCol w:w="4677"/>
    </w:tblGrid>
    <w:tr w:rsidR="004A347C" w14:paraId="4BB49A78" w14:textId="77777777">
      <w:trPr>
        <w:gridAfter w:val="1"/>
        <w:wAfter w:w="4677" w:type="dxa"/>
      </w:trPr>
      <w:tc>
        <w:tcPr>
          <w:tcW w:w="4785" w:type="dxa"/>
        </w:tcPr>
        <w:p w14:paraId="01419317" w14:textId="77777777" w:rsidR="004A347C" w:rsidRDefault="004A347C">
          <w:pPr>
            <w:pStyle w:val="ac"/>
            <w:rPr>
              <w:sz w:val="20"/>
              <w:szCs w:val="20"/>
            </w:rPr>
          </w:pPr>
        </w:p>
      </w:tc>
    </w:tr>
    <w:tr w:rsidR="004A347C" w14:paraId="484234E0" w14:textId="77777777">
      <w:tc>
        <w:tcPr>
          <w:tcW w:w="4785" w:type="dxa"/>
        </w:tcPr>
        <w:p w14:paraId="6A96C183" w14:textId="77777777" w:rsidR="004A347C" w:rsidRDefault="004A347C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348AB4AE" w14:textId="77777777" w:rsidR="004A347C" w:rsidRDefault="004A347C">
          <w:pPr>
            <w:pStyle w:val="ac"/>
            <w:rPr>
              <w:sz w:val="20"/>
              <w:szCs w:val="20"/>
            </w:rPr>
          </w:pPr>
        </w:p>
      </w:tc>
    </w:tr>
  </w:tbl>
  <w:p w14:paraId="2EF36206" w14:textId="77777777" w:rsidR="004A347C" w:rsidRDefault="004A347C">
    <w:pPr>
      <w:pStyle w:val="ac"/>
      <w:rPr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347C"/>
    <w:rsid w:val="004A347C"/>
    <w:rsid w:val="00780B0C"/>
    <w:rsid w:val="007D3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EA4539"/>
  <w15:docId w15:val="{BB85FF02-9015-41AA-B008-ED94DBCC3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Liberation Sans" w:eastAsia="Liberation Sans" w:hAnsi="Liberation Sans" w:cs="Liberation Sans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Liberation Sans" w:eastAsia="Liberation Sans" w:hAnsi="Liberation Sans" w:cs="Liberation Sans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Liberation Sans" w:eastAsia="Liberation Sans" w:hAnsi="Liberation Sans" w:cs="Liberation Sans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Liberation Sans" w:eastAsia="Liberation Sans" w:hAnsi="Liberation Sans" w:cs="Liberation Sans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Liberation Sans" w:eastAsia="Liberation Sans" w:hAnsi="Liberation Sans" w:cs="Liberation Sans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Liberation Sans" w:eastAsia="Liberation Sans" w:hAnsi="Liberation Sans" w:cs="Liberation Sans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Liberation Sans" w:eastAsia="Liberation Sans" w:hAnsi="Liberation Sans" w:cs="Liberation Sans"/>
      <w:sz w:val="34"/>
    </w:rPr>
  </w:style>
  <w:style w:type="character" w:customStyle="1" w:styleId="Heading3Char">
    <w:name w:val="Heading 3 Char"/>
    <w:basedOn w:val="a0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CaptionChar">
    <w:name w:val="Caption Char"/>
    <w:basedOn w:val="a0"/>
    <w:uiPriority w:val="35"/>
    <w:rPr>
      <w:b/>
      <w:bCs/>
      <w:color w:val="4F81BD" w:themeColor="accent1"/>
      <w:sz w:val="18"/>
      <w:szCs w:val="18"/>
    </w:r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10">
    <w:name w:val="Заголовок 1 Знак"/>
    <w:basedOn w:val="a0"/>
    <w:link w:val="1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2">
    <w:name w:val="Quote"/>
    <w:basedOn w:val="a"/>
    <w:next w:val="a"/>
    <w:link w:val="23"/>
    <w:uiPriority w:val="29"/>
    <w:qFormat/>
    <w:pPr>
      <w:ind w:left="720" w:right="720"/>
    </w:pPr>
    <w:rPr>
      <w:i/>
    </w:rPr>
  </w:style>
  <w:style w:type="character" w:customStyle="1" w:styleId="23">
    <w:name w:val="Цитата 2 Знак"/>
    <w:link w:val="22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ab">
    <w:name w:val="Верхний колонтитул Знак"/>
    <w:basedOn w:val="a0"/>
    <w:link w:val="ac"/>
    <w:uiPriority w:val="99"/>
  </w:style>
  <w:style w:type="character" w:customStyle="1" w:styleId="ad">
    <w:name w:val="Нижний колонтитул Знак"/>
    <w:basedOn w:val="a0"/>
    <w:link w:val="ae"/>
    <w:uiPriority w:val="99"/>
  </w:style>
  <w:style w:type="paragraph" w:styleId="af">
    <w:name w:val="caption"/>
    <w:basedOn w:val="a"/>
    <w:next w:val="a"/>
    <w:link w:val="af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f0">
    <w:name w:val="Название объекта Знак"/>
    <w:basedOn w:val="a0"/>
    <w:link w:val="af"/>
    <w:uiPriority w:val="35"/>
    <w:rPr>
      <w:b/>
      <w:bCs/>
      <w:color w:val="4F81BD" w:themeColor="accent1"/>
      <w:sz w:val="18"/>
      <w:szCs w:val="18"/>
    </w:rPr>
  </w:style>
  <w:style w:type="table" w:styleId="af1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0">
    <w:name w:val="Таблица простая 1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0">
    <w:name w:val="Таблица простая 31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0">
    <w:name w:val="Таблица простая 4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0">
    <w:name w:val="Таблица простая 51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31">
    <w:name w:val="Таблица-сетка 3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41">
    <w:name w:val="Таблица-сетка 41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210">
    <w:name w:val="Список-таблица 21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310">
    <w:name w:val="Список-таблица 3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f2">
    <w:name w:val="footnote text"/>
    <w:basedOn w:val="a"/>
    <w:link w:val="af3"/>
    <w:uiPriority w:val="99"/>
    <w:semiHidden/>
    <w:unhideWhenUsed/>
    <w:pPr>
      <w:spacing w:after="40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</w:style>
  <w:style w:type="paragraph" w:styleId="ac">
    <w:name w:val="header"/>
    <w:basedOn w:val="a"/>
    <w:link w:val="ab"/>
    <w:uiPriority w:val="99"/>
    <w:pPr>
      <w:tabs>
        <w:tab w:val="center" w:pos="4677"/>
        <w:tab w:val="right" w:pos="9355"/>
      </w:tabs>
    </w:pPr>
  </w:style>
  <w:style w:type="paragraph" w:styleId="ae">
    <w:name w:val="footer"/>
    <w:basedOn w:val="a"/>
    <w:link w:val="ad"/>
    <w:uiPriority w:val="99"/>
    <w:pPr>
      <w:tabs>
        <w:tab w:val="center" w:pos="4677"/>
        <w:tab w:val="right" w:pos="9355"/>
      </w:tabs>
    </w:pPr>
  </w:style>
  <w:style w:type="character" w:styleId="afa">
    <w:name w:val="page number"/>
    <w:basedOn w:val="a0"/>
  </w:style>
  <w:style w:type="paragraph" w:styleId="afb">
    <w:name w:val="Document Map"/>
    <w:basedOn w:val="a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afc">
    <w:name w:val="Hyperlink"/>
    <w:uiPriority w:val="99"/>
    <w:rPr>
      <w:color w:val="0000FF"/>
      <w:u w:val="single"/>
    </w:rPr>
  </w:style>
  <w:style w:type="paragraph" w:styleId="afd">
    <w:name w:val="Balloon Text"/>
    <w:basedOn w:val="a"/>
    <w:link w:val="afe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basedOn w:val="a0"/>
    <w:link w:val="afd"/>
    <w:uiPriority w:val="99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1.xml"/><Relationship Id="rId3" Type="http://schemas.openxmlformats.org/officeDocument/2006/relationships/webSettings" Target="webSettings.xml"/><Relationship Id="rId12" Type="http://schemas.openxmlformats.org/officeDocument/2006/relationships/hyperlink" Target="https://login.consultant.ru/link/?req=doc&amp;amp;base=LAW&amp;amp;n=482731&amp;amp;dst=1992" TargetMode="Externa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https://login.consultant.ru/link/?req=doc&amp;amp;base=LAW&amp;amp;n=482731&amp;amp;dst=1988" TargetMode="Externa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10.png"/><Relationship Id="rId4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783</Words>
  <Characters>4469</Characters>
  <Application>Microsoft Office Word</Application>
  <DocSecurity>0</DocSecurity>
  <Lines>37</Lines>
  <Paragraphs>10</Paragraphs>
  <ScaleCrop>false</ScaleCrop>
  <Company>АСРО</Company>
  <LinksUpToDate>false</LinksUpToDate>
  <CharactersWithSpaces>5242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Панова К.О.. Панова</dc:creator>
  <cp:lastModifiedBy>User</cp:lastModifiedBy>
  <cp:revision>4</cp:revision>
  <dcterms:created xsi:type="dcterms:W3CDTF">2026-10-14T18:44:00Z</dcterms:created>
  <dcterms:modified xsi:type="dcterms:W3CDTF">2026-10-15T16:56:00Z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bjectID">
    <vt:lpwstr>0ab93424-b5d1-4402-a8df-4db5e62a4bff</vt:lpwstr>
  </property>
  <property fmtid="{D5CDD505-2E9C-101B-9397-08002B2CF9AE}" pid="3" name="TimeStamp">
    <vt:lpwstr>8</vt:lpwstr>
  </property>
</Properties>
</file>