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</w:p>
    <w:p>
      <w:pPr>
        <w:ind w:firstLine="708"/>
        <w:jc w:val="both"/>
        <w:shd w:val="clear" w:color="auto" w:fill="ffffff"/>
      </w:pPr>
      <w:r>
        <w:t xml:space="preserve">установил: решением Арбитражного суда Ростовской области от </w:t>
      </w:r>
      <w:r>
        <w:rPr>
          <w:sz w:val="22"/>
          <w:szCs w:val="22"/>
        </w:rPr>
        <w:t xml:space="preserve">[7]</w:t>
      </w:r>
      <w:r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2026-10-15T12:40:25Z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