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2BADF" w14:textId="77777777" w:rsidR="00604B16" w:rsidRDefault="008E47F4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C2CB166" wp14:editId="399E71FE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B2AA" w14:textId="77777777" w:rsidR="00604B16" w:rsidRDefault="00604B16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1D1DD956" w14:textId="77777777" w:rsidR="00604B16" w:rsidRDefault="008E47F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1D2766DA" w14:textId="77777777" w:rsidR="00604B16" w:rsidRDefault="008E47F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344 002 г. </w:t>
      </w:r>
      <w:proofErr w:type="spellStart"/>
      <w:r>
        <w:rPr>
          <w:rFonts w:ascii="Times New Roman" w:eastAsia="Times New Roman" w:hAnsi="Times New Roman" w:cs="Times New Roman"/>
        </w:rPr>
        <w:t>Ростов</w:t>
      </w:r>
      <w:proofErr w:type="spellEnd"/>
      <w:r>
        <w:rPr>
          <w:rFonts w:ascii="Times New Roman" w:eastAsia="Times New Roman" w:hAnsi="Times New Roman" w:cs="Times New Roman"/>
        </w:rPr>
        <w:t>-на-Дону, ул. Станиславского, 10/11-13</w:t>
      </w:r>
    </w:p>
    <w:p w14:paraId="0BA16BED" w14:textId="77777777" w:rsidR="00604B16" w:rsidRPr="00CE5FC9" w:rsidRDefault="008E47F4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 w:rsidRPr="00CE5FC9">
        <w:rPr>
          <w:rFonts w:ascii="Times New Roman" w:eastAsia="Times New Roman" w:hAnsi="Times New Roman" w:cs="Times New Roman"/>
          <w:lang w:val="en-US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 w:rsidRPr="00CE5FC9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CE5FC9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CE5FC9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 w:rsidRPr="00CE5FC9">
        <w:rPr>
          <w:rFonts w:ascii="Times New Roman" w:eastAsia="Times New Roman" w:hAnsi="Times New Roman" w:cs="Times New Roman"/>
          <w:lang w:val="en-US"/>
        </w:rPr>
        <w:t xml:space="preserve">; </w:t>
      </w:r>
      <w:r>
        <w:rPr>
          <w:rFonts w:ascii="Times New Roman" w:eastAsia="Times New Roman" w:hAnsi="Times New Roman" w:cs="Times New Roman"/>
        </w:rPr>
        <w:t>е</w:t>
      </w:r>
      <w:r w:rsidRPr="00CE5FC9">
        <w:rPr>
          <w:rFonts w:ascii="Times New Roman" w:eastAsia="Times New Roman" w:hAnsi="Times New Roman" w:cs="Times New Roman"/>
          <w:lang w:val="en-US"/>
        </w:rPr>
        <w:t>-</w:t>
      </w:r>
      <w:r>
        <w:rPr>
          <w:rFonts w:ascii="Times New Roman" w:eastAsia="Times New Roman" w:hAnsi="Times New Roman" w:cs="Times New Roman"/>
          <w:lang w:val="en-US"/>
        </w:rPr>
        <w:t>mail</w:t>
      </w:r>
      <w:r w:rsidRPr="00CE5FC9">
        <w:rPr>
          <w:rFonts w:ascii="Times New Roman" w:eastAsia="Times New Roman" w:hAnsi="Times New Roman" w:cs="Times New Roman"/>
          <w:lang w:val="en-US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 w:rsidRPr="00CE5FC9">
        <w:rPr>
          <w:rFonts w:ascii="Times New Roman" w:eastAsia="Times New Roman" w:hAnsi="Times New Roman" w:cs="Times New Roman"/>
          <w:lang w:val="en-US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CE5FC9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CE5FC9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4AB61573" w14:textId="77777777" w:rsidR="00604B16" w:rsidRPr="00CE5FC9" w:rsidRDefault="00604B16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</w:p>
    <w:p w14:paraId="4661B904" w14:textId="77777777" w:rsidR="00604B16" w:rsidRDefault="008E47F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</w:p>
    <w:p w14:paraId="2E0398EF" w14:textId="77777777" w:rsidR="00604B16" w:rsidRDefault="008E47F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включении требований в реестр требований кредиторов</w:t>
      </w:r>
    </w:p>
    <w:p w14:paraId="5B0ED16E" w14:textId="77777777" w:rsidR="00604B16" w:rsidRDefault="00604B1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604B16" w14:paraId="464487E8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285432C" w14:textId="77777777" w:rsidR="00604B16" w:rsidRDefault="008E47F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г.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Ростов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-на-Дону</w:t>
            </w:r>
          </w:p>
          <w:p w14:paraId="2D6EE380" w14:textId="77777777" w:rsidR="00604B16" w:rsidRDefault="008E47F4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</w:rPr>
              <w:t>66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]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21A6A4A" w14:textId="77777777" w:rsidR="00604B16" w:rsidRDefault="00604B16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1A6C429F" w14:textId="77777777" w:rsidR="00604B16" w:rsidRDefault="008E47F4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Дело №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4E1EA752" w14:textId="77777777" w:rsidR="00604B16" w:rsidRDefault="008E47F4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0905DF0B" w14:textId="1EB95A61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Арбитражный суд Ростовской области в составе судьи [415], рассмотрев заявление «[989]» (ОГРН [990], ИНН [991]) о включении требований в реестр кредиторов в рамках дела о несостоятельности (</w:t>
      </w:r>
      <w:proofErr w:type="gramStart"/>
      <w:r>
        <w:rPr>
          <w:rFonts w:ascii="Times New Roman" w:hAnsi="Times New Roman" w:cs="Times New Roman"/>
        </w:rPr>
        <w:t>банкротстве)  «</w:t>
      </w:r>
      <w:proofErr w:type="gramEnd"/>
      <w:r w:rsidR="00F52395">
        <w:rPr>
          <w:rFonts w:ascii="Times New Roman" w:hAnsi="Times New Roman" w:cs="Times New Roman"/>
        </w:rPr>
        <w:t xml:space="preserve">Глава КФХ </w:t>
      </w:r>
      <w:r>
        <w:rPr>
          <w:rFonts w:ascii="Times New Roman" w:hAnsi="Times New Roman" w:cs="Times New Roman"/>
        </w:rPr>
        <w:t>[2]» (ОГРН [3], ИНН [4], [5])</w:t>
      </w:r>
    </w:p>
    <w:p w14:paraId="414A4BD7" w14:textId="5E2A84B8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установил: решением Арбитражного суда Ростовской области от [7] в отношении «</w:t>
      </w:r>
      <w:r w:rsidR="00FD1E58">
        <w:rPr>
          <w:rFonts w:ascii="Times New Roman" w:hAnsi="Times New Roman" w:cs="Times New Roman"/>
        </w:rPr>
        <w:t>Глав</w:t>
      </w:r>
      <w:r w:rsidR="00FD1E58">
        <w:rPr>
          <w:rFonts w:ascii="Times New Roman" w:hAnsi="Times New Roman" w:cs="Times New Roman"/>
        </w:rPr>
        <w:t>ы</w:t>
      </w:r>
      <w:r w:rsidR="00FD1E58">
        <w:rPr>
          <w:rFonts w:ascii="Times New Roman" w:hAnsi="Times New Roman" w:cs="Times New Roman"/>
        </w:rPr>
        <w:t xml:space="preserve"> КФХ </w:t>
      </w:r>
      <w:r>
        <w:rPr>
          <w:rFonts w:ascii="Times New Roman" w:eastAsia="Times New Roman" w:hAnsi="Times New Roman" w:cs="Times New Roman"/>
        </w:rPr>
        <w:t>[2.1]» введена процедура, применяемая в деле о банкротстве – конкурсное производство. Конкурсным управляющим утвержден [8]</w:t>
      </w:r>
      <w:r w:rsidR="00CE5FC9">
        <w:rPr>
          <w:rFonts w:ascii="Times New Roman" w:eastAsia="Times New Roman" w:hAnsi="Times New Roman" w:cs="Times New Roman"/>
        </w:rPr>
        <w:t>.</w:t>
      </w:r>
    </w:p>
    <w:p w14:paraId="5A4C3C57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Сведения о введении процедуры опубликованы на сайте ЕФРСБ </w:t>
      </w:r>
      <w:proofErr w:type="gramStart"/>
      <w:r>
        <w:rPr>
          <w:rFonts w:ascii="Times New Roman" w:eastAsia="Times New Roman" w:hAnsi="Times New Roman" w:cs="Times New Roman"/>
        </w:rPr>
        <w:t>сообщение  [</w:t>
      </w:r>
      <w:proofErr w:type="gramEnd"/>
      <w:r>
        <w:rPr>
          <w:rFonts w:ascii="Times New Roman" w:eastAsia="Times New Roman" w:hAnsi="Times New Roman" w:cs="Times New Roman"/>
        </w:rPr>
        <w:t>11](сообщение № [9]).</w:t>
      </w:r>
    </w:p>
    <w:p w14:paraId="39B3A927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арбитражный суд [777] поступило (посредством сервиса подачи документов в электронном виде «Мой арбитр») заявление «[989]» о включении в третью очередь реестра требований кредиторов должника задолженности в размере [12] руб., из которых: [13] руб. – просроченный основной долг, [14] руб. - просроченные проценты, [15] руб. - неустойка., из них: как обеспеченные залогом –  [0007]  руб.</w:t>
      </w:r>
    </w:p>
    <w:p w14:paraId="3C6D04F3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Финансовый управляющий представил отзыв, в котором отсутствуют возражения относительно требований кредитора.</w:t>
      </w:r>
    </w:p>
    <w:p w14:paraId="3D63B891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35AC67CC" w14:textId="1C0591AF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обоснование заявленных требований кредитор указал, что [989] и </w:t>
      </w:r>
      <w:r w:rsidR="00BC1759">
        <w:rPr>
          <w:rFonts w:ascii="Times New Roman" w:hAnsi="Times New Roman" w:cs="Times New Roman"/>
        </w:rPr>
        <w:t xml:space="preserve">Глава КФХ </w:t>
      </w:r>
      <w:r w:rsidR="00BC175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[2] (далее – должник) заключили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3216BDC6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Поскольку Ответчик обязательства по своевременному погашению кредита и процентов исполнял ненадлежащим образом, образовалась просроченная задолженность в размере [12] руб., из которых: [13] руб. – просроченный основной долг,[14] руб. - просроченные проценты, [15] руб. - неустойка.</w:t>
      </w:r>
    </w:p>
    <w:p w14:paraId="2D7B2567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Ввиду того, что должник свои обязательства не исполнил, имеющаяся задолженность не погашена, заявитель обратился в Арбитражный суд Ростовской области с настоящим заявлением.</w:t>
      </w:r>
    </w:p>
    <w:p w14:paraId="6856BD67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</w:p>
    <w:p w14:paraId="62AD0237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</w:p>
    <w:p w14:paraId="223AE41B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</w:t>
      </w:r>
      <w:r>
        <w:rPr>
          <w:rFonts w:ascii="Times New Roman" w:eastAsia="Times New Roman" w:hAnsi="Times New Roman" w:cs="Times New Roman"/>
        </w:rPr>
        <w:lastRenderedPageBreak/>
        <w:t>Федерации и не вытекает из существа кредитного договора. Заемщик обязан возвратить 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484D9768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</w:p>
    <w:p w14:paraId="63B64214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</w:t>
      </w:r>
    </w:p>
    <w:p w14:paraId="6211D62D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61525F2D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Проверив расчет процентов и неустойки, суд признает его арифметически верным.</w:t>
      </w:r>
    </w:p>
    <w:p w14:paraId="301A3197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</w:p>
    <w:p w14:paraId="77ED4B70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657402DE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Доказательств надлежащего исполнения обязательств по возврату сумм кредита в материалы дела не представлено. </w:t>
      </w:r>
    </w:p>
    <w:p w14:paraId="2E9EF02B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22705C38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</w:p>
    <w:p w14:paraId="4B8E8578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35A31E1E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 заявления следует, что заявитель просит включить требование в размере [0007] руб. как обеспеченное залогом имущества должника.</w:t>
      </w:r>
    </w:p>
    <w:p w14:paraId="4DC7305A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Согласно договору залога № [0005] от [0006] обеспечены обязательства по кредитным договорам № [110] от [100], № [111] от [101], № [112] от [102], № [113] от [103], № [114] от [104], № [115] от [105] в размере [0007] руб.</w:t>
      </w:r>
    </w:p>
    <w:p w14:paraId="6D96C329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Предметом залога является </w:t>
      </w:r>
      <w:r>
        <w:rPr>
          <w:rStyle w:val="afb"/>
          <w:rFonts w:ascii="Times New Roman" w:hAnsi="Times New Roman" w:cs="Times New Roman"/>
        </w:rPr>
        <w:t>[1221]</w:t>
      </w:r>
    </w:p>
    <w:p w14:paraId="4BC9ED43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Статьей 138 Закона о банкротстве определены особенности учета и удовлетворения требований кредиторов третьей очереди по обязательствам, обеспеченным залогом имущества должника.</w:t>
      </w:r>
    </w:p>
    <w:p w14:paraId="1C9FF670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 пунктом 5 статьи 138 Закона о банкротстве, требования залогодержателей по договорам залога, заключенным с должником в обеспечение исполнения обязательств иных лиц, также удовлетворяются в порядке, предусмотренном настоящей статьей. Указанные залогодержатели обладают правами конкурсных кредиторов, требования которых обеспечены залогом имущества должника, во всех процедурах, применяемых в деле о банкротстве</w:t>
      </w:r>
    </w:p>
    <w:p w14:paraId="3FBDEB06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Согласно общим положениям гражданского законодательства о залоге (статьи 334 и 337 Гражданского кодекса Российской Федерации) кредитор по обеспеченному залогом обязательству имеет право из всей стоимости заложенного имущества получить преимущественное удовлетворение требования в том объеме, какой оно имеет к моменту удовлетворения. Эти правила подлежат применению и к спорным правоотношениям (с учетом предусмотренных </w:t>
      </w:r>
      <w:r>
        <w:rPr>
          <w:rFonts w:ascii="Times New Roman" w:eastAsia="Times New Roman" w:hAnsi="Times New Roman" w:cs="Times New Roman"/>
        </w:rPr>
        <w:lastRenderedPageBreak/>
        <w:t>статьей 138 Закона о банкротстве особенностей, касающихся направления части выручки на цели, не связанные с погашением требования залогового кредитора).</w:t>
      </w:r>
    </w:p>
    <w:p w14:paraId="73EE11D4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материалах дела отсутствуют доказательства, подтверждающие отсутствие предмета залога у должника.</w:t>
      </w:r>
    </w:p>
    <w:p w14:paraId="0F2EEB41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Таким образом, оснований для отказа в признании требования кредитора в размере [0007</w:t>
      </w:r>
      <w:proofErr w:type="gramStart"/>
      <w:r>
        <w:rPr>
          <w:rFonts w:ascii="Times New Roman" w:eastAsia="Times New Roman" w:hAnsi="Times New Roman" w:cs="Times New Roman"/>
        </w:rPr>
        <w:t>]  руб.</w:t>
      </w:r>
      <w:proofErr w:type="gramEnd"/>
      <w:r>
        <w:rPr>
          <w:rFonts w:ascii="Times New Roman" w:eastAsia="Times New Roman" w:hAnsi="Times New Roman" w:cs="Times New Roman"/>
        </w:rPr>
        <w:t xml:space="preserve"> обеспеченным залогом имущества должника у суда не имеется и указанное требование подлежит включению в реестр требований кредиторов как обеспеченное залогом.</w:t>
      </w:r>
    </w:p>
    <w:p w14:paraId="1603CC32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соответствии с пунктом 3 статьи 137 Федерального закона от 26.10.2002 № 127- 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2ABD5AC1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суд признает требование заявителя обоснованным, документально подтвержденным и подлежащим включению в реестр требований кредиторов должника в соответствии с пунктом 4 статьи 134 Закона о банкротстве, в заявленном размере.</w:t>
      </w:r>
    </w:p>
    <w:p w14:paraId="3D4F679E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Руководствуясь статьей 100 Федерального закона от 26.10.2002 № 127-ФЗ «О несостоятельности (банкротстве)», статьями 184, 185, 223 Арбитражного процессуального кодекса Российской Федерации, суд</w:t>
      </w:r>
    </w:p>
    <w:p w14:paraId="2A46F982" w14:textId="77777777" w:rsidR="00604B16" w:rsidRDefault="008E47F4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 Р Е Д Е Л И Л:</w:t>
      </w:r>
    </w:p>
    <w:p w14:paraId="7FDEB349" w14:textId="77777777" w:rsidR="00604B16" w:rsidRDefault="00604B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D90E72A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Включить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неустойка., из них: как обеспеченные залогом – [0007]  руб., в третью очередь реестра требований кредиторов должника.</w:t>
      </w:r>
    </w:p>
    <w:p w14:paraId="5B01029C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>
        <w:rPr>
          <w:rFonts w:ascii="Times New Roman" w:eastAsia="Times New Roman" w:hAnsi="Times New Roman" w:cs="Times New Roman"/>
        </w:rPr>
        <w:t>[0071]</w:t>
      </w:r>
      <w:r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50CDF808" w14:textId="382A2E2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«</w:t>
      </w:r>
      <w:r w:rsidR="00BC1759">
        <w:rPr>
          <w:rFonts w:ascii="Times New Roman" w:hAnsi="Times New Roman" w:cs="Times New Roman"/>
        </w:rPr>
        <w:t xml:space="preserve">Глава КФХ </w:t>
      </w:r>
      <w:r>
        <w:rPr>
          <w:rFonts w:ascii="Times New Roman" w:hAnsi="Times New Roman" w:cs="Times New Roman"/>
        </w:rPr>
        <w:t>[2]» (ОГРН [3], ИНН [4], [5]) в пользу «[989]»,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08B13130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10B8AF98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183513B1" w14:textId="77777777" w:rsidR="00604B16" w:rsidRDefault="00604B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47412CFD" w14:textId="77777777" w:rsidR="00604B16" w:rsidRDefault="00604B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604B16" w14:paraId="0DAA688B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A67CEE3" w14:textId="77777777" w:rsidR="00604B16" w:rsidRDefault="008E47F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B78A04C" w14:textId="77777777" w:rsidR="00604B16" w:rsidRDefault="008E47F4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5D794362" w14:textId="77777777" w:rsidR="00604B16" w:rsidRDefault="00604B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01AEADC" w14:textId="77777777" w:rsidR="00604B16" w:rsidRDefault="00604B16">
      <w:pPr>
        <w:rPr>
          <w:rFonts w:ascii="Times New Roman" w:hAnsi="Times New Roman" w:cs="Times New Roman"/>
        </w:rPr>
      </w:pPr>
    </w:p>
    <w:p w14:paraId="73B0AEBE" w14:textId="77777777" w:rsidR="00604B16" w:rsidRDefault="00604B16">
      <w:pPr>
        <w:ind w:firstLine="720"/>
        <w:contextualSpacing/>
        <w:jc w:val="both"/>
        <w:rPr>
          <w:rFonts w:ascii="Times New Roman" w:hAnsi="Times New Roman" w:cs="Times New Roman"/>
        </w:rPr>
      </w:pPr>
    </w:p>
    <w:sectPr w:rsidR="00604B1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2C0B7" w14:textId="77777777" w:rsidR="00EB3678" w:rsidRDefault="00EB3678">
      <w:pPr>
        <w:spacing w:after="0" w:line="240" w:lineRule="auto"/>
      </w:pPr>
      <w:r>
        <w:separator/>
      </w:r>
    </w:p>
  </w:endnote>
  <w:endnote w:type="continuationSeparator" w:id="0">
    <w:p w14:paraId="782454C8" w14:textId="77777777" w:rsidR="00EB3678" w:rsidRDefault="00EB3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Cambria">
    <w:panose1 w:val="0204050305040603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71DFA" w14:textId="77777777" w:rsidR="00EB3678" w:rsidRDefault="00EB3678">
      <w:pPr>
        <w:spacing w:after="0" w:line="240" w:lineRule="auto"/>
      </w:pPr>
      <w:r>
        <w:separator/>
      </w:r>
    </w:p>
  </w:footnote>
  <w:footnote w:type="continuationSeparator" w:id="0">
    <w:p w14:paraId="2F573D7D" w14:textId="77777777" w:rsidR="00EB3678" w:rsidRDefault="00EB36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4B16"/>
    <w:rsid w:val="00604B16"/>
    <w:rsid w:val="00793CD2"/>
    <w:rsid w:val="008E47F4"/>
    <w:rsid w:val="00BC1759"/>
    <w:rsid w:val="00CE5FC9"/>
    <w:rsid w:val="00EB3678"/>
    <w:rsid w:val="00F52395"/>
    <w:rsid w:val="00FD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69355"/>
  <w15:docId w15:val="{7559389D-DB24-4293-BDDA-6DFB8AE7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customStyle="1" w:styleId="afb">
    <w:name w:val="Основной текст_"/>
    <w:rPr>
      <w:rFonts w:ascii="Cambria" w:eastAsia="Cambria" w:hAnsi="Cambria" w:cs="Cambria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1449</Words>
  <Characters>8261</Characters>
  <Application>Microsoft Office Word</Application>
  <DocSecurity>0</DocSecurity>
  <Lines>68</Lines>
  <Paragraphs>19</Paragraphs>
  <ScaleCrop>false</ScaleCrop>
  <Company/>
  <LinksUpToDate>false</LinksUpToDate>
  <CharactersWithSpaces>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25</cp:revision>
  <dcterms:created xsi:type="dcterms:W3CDTF">2025-12-12T05:51:00Z</dcterms:created>
  <dcterms:modified xsi:type="dcterms:W3CDTF">2026-10-15T20:04:00Z</dcterms:modified>
</cp:coreProperties>
</file>