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B21304" w14:textId="77777777" w:rsidR="001018F9" w:rsidRDefault="00ED1783">
      <w:pPr>
        <w:jc w:val="center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g">
            <w:drawing>
              <wp:inline distT="0" distB="0" distL="0" distR="0" wp14:anchorId="711D1FC0" wp14:editId="0557EBF5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6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</w:p>
    <w:p w14:paraId="23904C0F" w14:textId="77777777" w:rsidR="001018F9" w:rsidRDefault="001018F9">
      <w:pPr>
        <w:spacing w:line="360" w:lineRule="auto"/>
        <w:jc w:val="center"/>
        <w:rPr>
          <w:sz w:val="22"/>
          <w:szCs w:val="22"/>
        </w:rPr>
      </w:pPr>
    </w:p>
    <w:p w14:paraId="71C2997D" w14:textId="77777777" w:rsidR="001018F9" w:rsidRDefault="00ED1783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АРБИТРАЖНЫЙ СУД РОСТОВСКОЙ ОБЛАСТИ</w:t>
      </w:r>
    </w:p>
    <w:p w14:paraId="51873989" w14:textId="77777777" w:rsidR="001018F9" w:rsidRDefault="00ED1783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344 002 г. </w:t>
      </w:r>
      <w:proofErr w:type="spellStart"/>
      <w:r>
        <w:rPr>
          <w:sz w:val="22"/>
          <w:szCs w:val="22"/>
        </w:rPr>
        <w:t>Ростов</w:t>
      </w:r>
      <w:proofErr w:type="spellEnd"/>
      <w:r>
        <w:rPr>
          <w:sz w:val="22"/>
          <w:szCs w:val="22"/>
        </w:rPr>
        <w:t>-на-Дону, ул. Станиславского, 10/11-13</w:t>
      </w:r>
    </w:p>
    <w:p w14:paraId="4BB7109D" w14:textId="77777777" w:rsidR="001018F9" w:rsidRPr="001D7791" w:rsidRDefault="00ED1783">
      <w:pPr>
        <w:jc w:val="center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http</w:t>
      </w:r>
      <w:r w:rsidRPr="001D7791">
        <w:rPr>
          <w:sz w:val="22"/>
          <w:szCs w:val="22"/>
          <w:lang w:val="en-US"/>
        </w:rPr>
        <w:t>://</w:t>
      </w:r>
      <w:r>
        <w:rPr>
          <w:sz w:val="22"/>
          <w:szCs w:val="22"/>
          <w:lang w:val="en-US"/>
        </w:rPr>
        <w:t>www</w:t>
      </w:r>
      <w:r w:rsidRPr="001D7791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rostov</w:t>
      </w:r>
      <w:r w:rsidRPr="001D7791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arbitr</w:t>
      </w:r>
      <w:r w:rsidRPr="001D7791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ru</w:t>
      </w:r>
      <w:r w:rsidRPr="001D7791">
        <w:rPr>
          <w:sz w:val="22"/>
          <w:szCs w:val="22"/>
          <w:lang w:val="en-US"/>
        </w:rPr>
        <w:t xml:space="preserve">; </w:t>
      </w:r>
      <w:r>
        <w:rPr>
          <w:sz w:val="22"/>
          <w:szCs w:val="22"/>
        </w:rPr>
        <w:t>е</w:t>
      </w:r>
      <w:r w:rsidRPr="001D7791">
        <w:rPr>
          <w:sz w:val="22"/>
          <w:szCs w:val="22"/>
          <w:lang w:val="en-US"/>
        </w:rPr>
        <w:t>-</w:t>
      </w:r>
      <w:r>
        <w:rPr>
          <w:sz w:val="22"/>
          <w:szCs w:val="22"/>
          <w:lang w:val="en-US"/>
        </w:rPr>
        <w:t>mail</w:t>
      </w:r>
      <w:r w:rsidRPr="001D7791">
        <w:rPr>
          <w:sz w:val="22"/>
          <w:szCs w:val="22"/>
          <w:lang w:val="en-US"/>
        </w:rPr>
        <w:t xml:space="preserve">: </w:t>
      </w:r>
      <w:hyperlink r:id="rId11" w:tooltip="mailto:info@rostov.arbitr.ru" w:history="1">
        <w:r>
          <w:rPr>
            <w:color w:val="0000FF"/>
            <w:sz w:val="22"/>
            <w:szCs w:val="22"/>
            <w:u w:val="single"/>
            <w:lang w:val="en-US"/>
          </w:rPr>
          <w:t>info</w:t>
        </w:r>
        <w:r w:rsidRPr="001D7791">
          <w:rPr>
            <w:color w:val="0000FF"/>
            <w:sz w:val="22"/>
            <w:szCs w:val="22"/>
            <w:u w:val="single"/>
            <w:lang w:val="en-US"/>
          </w:rPr>
          <w:t>@</w:t>
        </w:r>
        <w:r>
          <w:rPr>
            <w:color w:val="0000FF"/>
            <w:sz w:val="22"/>
            <w:szCs w:val="22"/>
            <w:u w:val="single"/>
            <w:lang w:val="en-US"/>
          </w:rPr>
          <w:t>rostov</w:t>
        </w:r>
        <w:r w:rsidRPr="001D7791">
          <w:rPr>
            <w:color w:val="0000FF"/>
            <w:sz w:val="22"/>
            <w:szCs w:val="22"/>
            <w:u w:val="single"/>
            <w:lang w:val="en-US"/>
          </w:rPr>
          <w:t>.</w:t>
        </w:r>
        <w:r>
          <w:rPr>
            <w:color w:val="0000FF"/>
            <w:sz w:val="22"/>
            <w:szCs w:val="22"/>
            <w:u w:val="single"/>
            <w:lang w:val="en-US"/>
          </w:rPr>
          <w:t>arbitr</w:t>
        </w:r>
        <w:r w:rsidRPr="001D7791">
          <w:rPr>
            <w:color w:val="0000FF"/>
            <w:sz w:val="22"/>
            <w:szCs w:val="22"/>
            <w:u w:val="single"/>
            <w:lang w:val="en-US"/>
          </w:rPr>
          <w:t>.</w:t>
        </w:r>
        <w:r>
          <w:rPr>
            <w:color w:val="0000FF"/>
            <w:sz w:val="22"/>
            <w:szCs w:val="22"/>
            <w:u w:val="single"/>
            <w:lang w:val="en-US"/>
          </w:rPr>
          <w:t>ru</w:t>
        </w:r>
      </w:hyperlink>
    </w:p>
    <w:p w14:paraId="49053AB1" w14:textId="77777777" w:rsidR="001018F9" w:rsidRPr="001D7791" w:rsidRDefault="001018F9">
      <w:pPr>
        <w:spacing w:line="360" w:lineRule="auto"/>
        <w:jc w:val="center"/>
        <w:outlineLvl w:val="0"/>
        <w:rPr>
          <w:b/>
          <w:sz w:val="22"/>
          <w:szCs w:val="22"/>
          <w:lang w:val="en-US"/>
        </w:rPr>
      </w:pPr>
    </w:p>
    <w:p w14:paraId="68A9621A" w14:textId="77777777" w:rsidR="001018F9" w:rsidRDefault="00ED1783">
      <w:pPr>
        <w:spacing w:line="360" w:lineRule="auto"/>
        <w:jc w:val="center"/>
        <w:outlineLvl w:val="0"/>
        <w:rPr>
          <w:b/>
          <w:sz w:val="22"/>
          <w:szCs w:val="22"/>
        </w:rPr>
      </w:pPr>
      <w:r>
        <w:rPr>
          <w:b/>
          <w:sz w:val="22"/>
          <w:szCs w:val="22"/>
        </w:rPr>
        <w:t>О П Р Е Д Е Л Е Н И Е</w:t>
      </w:r>
    </w:p>
    <w:p w14:paraId="45257C6D" w14:textId="77777777" w:rsidR="001018F9" w:rsidRDefault="00ED1783">
      <w:pPr>
        <w:jc w:val="center"/>
        <w:rPr>
          <w:sz w:val="22"/>
          <w:szCs w:val="22"/>
        </w:rPr>
      </w:pPr>
      <w:r>
        <w:rPr>
          <w:sz w:val="22"/>
          <w:szCs w:val="22"/>
        </w:rPr>
        <w:t>об оставлении заявления без движения</w:t>
      </w:r>
    </w:p>
    <w:p w14:paraId="4A233A8A" w14:textId="77777777" w:rsidR="001018F9" w:rsidRDefault="001018F9">
      <w:pPr>
        <w:rPr>
          <w:sz w:val="22"/>
          <w:szCs w:val="22"/>
        </w:rPr>
      </w:pPr>
    </w:p>
    <w:p w14:paraId="44898AE9" w14:textId="77777777" w:rsidR="001018F9" w:rsidRDefault="00ED1783">
      <w:pPr>
        <w:rPr>
          <w:sz w:val="22"/>
          <w:szCs w:val="22"/>
        </w:rPr>
      </w:pPr>
      <w:r>
        <w:rPr>
          <w:sz w:val="22"/>
          <w:szCs w:val="22"/>
        </w:rPr>
        <w:t xml:space="preserve">г. </w:t>
      </w:r>
      <w:proofErr w:type="spellStart"/>
      <w:r>
        <w:rPr>
          <w:sz w:val="22"/>
          <w:szCs w:val="22"/>
        </w:rPr>
        <w:t>Ростов</w:t>
      </w:r>
      <w:proofErr w:type="spellEnd"/>
      <w:r>
        <w:rPr>
          <w:sz w:val="22"/>
          <w:szCs w:val="22"/>
        </w:rPr>
        <w:t>-на-Дону</w:t>
      </w:r>
    </w:p>
    <w:p w14:paraId="6BA2F11F" w14:textId="77777777" w:rsidR="001018F9" w:rsidRDefault="00ED1783">
      <w:pPr>
        <w:tabs>
          <w:tab w:val="right" w:pos="9354"/>
        </w:tabs>
        <w:rPr>
          <w:bCs/>
          <w:sz w:val="22"/>
          <w:szCs w:val="22"/>
        </w:rPr>
      </w:pPr>
      <w:r>
        <w:rPr>
          <w:sz w:val="22"/>
          <w:szCs w:val="22"/>
        </w:rPr>
        <w:t>[66]</w:t>
      </w:r>
      <w:r>
        <w:rPr>
          <w:sz w:val="22"/>
          <w:szCs w:val="22"/>
        </w:rPr>
        <w:tab/>
        <w:t>Дело № А53-[1]/[22]</w:t>
      </w:r>
    </w:p>
    <w:p w14:paraId="6509225A" w14:textId="77777777" w:rsidR="001018F9" w:rsidRDefault="001018F9">
      <w:pPr>
        <w:tabs>
          <w:tab w:val="left" w:pos="6300"/>
        </w:tabs>
        <w:rPr>
          <w:bCs/>
          <w:sz w:val="22"/>
          <w:szCs w:val="22"/>
        </w:rPr>
      </w:pPr>
    </w:p>
    <w:p w14:paraId="2A77CCB6" w14:textId="77777777" w:rsidR="001018F9" w:rsidRDefault="00ED1783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Арбитражный суд Ростовской области  в составе судьи [415]., </w:t>
      </w:r>
    </w:p>
    <w:p w14:paraId="50F518D0" w14:textId="77777777" w:rsidR="001018F9" w:rsidRDefault="00ED1783">
      <w:pPr>
        <w:jc w:val="both"/>
        <w:rPr>
          <w:sz w:val="22"/>
          <w:szCs w:val="22"/>
        </w:rPr>
      </w:pPr>
      <w:r>
        <w:rPr>
          <w:sz w:val="22"/>
          <w:szCs w:val="22"/>
        </w:rPr>
        <w:t>ознакомившись с заявлением [</w:t>
      </w:r>
      <w:r>
        <w:rPr>
          <w:rFonts w:eastAsia="Liberation Sans"/>
          <w:color w:val="212121"/>
          <w:sz w:val="22"/>
          <w:szCs w:val="22"/>
        </w:rPr>
        <w:t>989]</w:t>
      </w:r>
      <w:r>
        <w:rPr>
          <w:sz w:val="22"/>
          <w:szCs w:val="22"/>
        </w:rPr>
        <w:t xml:space="preserve"> (ИНН </w:t>
      </w:r>
      <w:r>
        <w:rPr>
          <w:rFonts w:eastAsia="Liberation Sans"/>
          <w:color w:val="212121"/>
          <w:sz w:val="22"/>
          <w:szCs w:val="22"/>
        </w:rPr>
        <w:t>[991]</w:t>
      </w:r>
      <w:r>
        <w:rPr>
          <w:sz w:val="22"/>
          <w:szCs w:val="22"/>
        </w:rPr>
        <w:t xml:space="preserve">, ОГРН </w:t>
      </w:r>
      <w:r>
        <w:rPr>
          <w:rFonts w:eastAsia="Liberation Sans"/>
          <w:color w:val="212121"/>
          <w:sz w:val="22"/>
          <w:szCs w:val="22"/>
        </w:rPr>
        <w:t>[990]</w:t>
      </w:r>
      <w:r>
        <w:rPr>
          <w:sz w:val="22"/>
          <w:szCs w:val="22"/>
        </w:rPr>
        <w:t xml:space="preserve">, место нахождения: </w:t>
      </w:r>
      <w:r>
        <w:rPr>
          <w:rFonts w:eastAsia="Liberation Sans"/>
          <w:color w:val="212121"/>
          <w:sz w:val="22"/>
          <w:szCs w:val="22"/>
        </w:rPr>
        <w:t>[988]</w:t>
      </w:r>
      <w:r>
        <w:rPr>
          <w:sz w:val="22"/>
          <w:szCs w:val="22"/>
        </w:rPr>
        <w:t>)</w:t>
      </w:r>
    </w:p>
    <w:p w14:paraId="65C5D454" w14:textId="77777777" w:rsidR="001018F9" w:rsidRDefault="00ED1783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о включении в реестр требований кредиторов </w:t>
      </w:r>
    </w:p>
    <w:p w14:paraId="716F8283" w14:textId="77777777" w:rsidR="001018F9" w:rsidRDefault="00ED1783">
      <w:pPr>
        <w:jc w:val="both"/>
        <w:rPr>
          <w:sz w:val="22"/>
          <w:szCs w:val="22"/>
        </w:rPr>
      </w:pPr>
      <w:r>
        <w:rPr>
          <w:sz w:val="22"/>
          <w:szCs w:val="22"/>
        </w:rPr>
        <w:t>в рамках дела о несостоятельности (банкротстве) Глава КФХ [2] (</w:t>
      </w:r>
      <w:r>
        <w:t xml:space="preserve">ОГРН [3], ИНН [4],</w:t>
      </w:r>
      <w:r>
        <w:rPr>
          <w:sz w:val="22"/>
          <w:szCs w:val="22"/>
        </w:rPr>
        <w:t xml:space="preserve"> адрес: [6]),</w:t>
      </w:r>
    </w:p>
    <w:p w14:paraId="5DEEE049" w14:textId="77777777" w:rsidR="001018F9" w:rsidRDefault="001018F9">
      <w:pPr>
        <w:jc w:val="both"/>
        <w:rPr>
          <w:sz w:val="22"/>
          <w:szCs w:val="22"/>
        </w:rPr>
      </w:pPr>
    </w:p>
    <w:p w14:paraId="301F44BC" w14:textId="77777777" w:rsidR="001018F9" w:rsidRDefault="00ED1783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установил: решением Арбитражного суда Ростовской области от [7] должник признан несостоятельным (банкротом), в отношении него введена процедура конкурсного производства. Конкурсным управляющим утвержден [8].</w:t>
      </w:r>
    </w:p>
    <w:p w14:paraId="7C943266" w14:textId="77777777" w:rsidR="006F032E" w:rsidRDefault="00ED1783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Сведения о признании должника банкротом и введении процедуры конкурсного производства опубликованы в газете «Коммерсантъ» [67] от [68]</w:t>
      </w:r>
      <w:r w:rsidR="006F032E">
        <w:rPr>
          <w:sz w:val="22"/>
          <w:szCs w:val="22"/>
        </w:rPr>
        <w:t>.</w:t>
      </w:r>
    </w:p>
    <w:p w14:paraId="3A9CAF92" w14:textId="645DC67A" w:rsidR="001018F9" w:rsidRDefault="00ED1783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[23]</w:t>
      </w:r>
      <w:r>
        <w:rPr>
          <w:sz w:val="22"/>
          <w:szCs w:val="22"/>
          <w:shd w:val="clear" w:color="auto" w:fill="FFFFFF"/>
        </w:rPr>
        <w:t xml:space="preserve"> (согласно штампу канцелярии); </w:t>
      </w:r>
      <w:r>
        <w:rPr>
          <w:rFonts w:eastAsia="Liberation Sans"/>
          <w:color w:val="212121"/>
          <w:sz w:val="22"/>
          <w:szCs w:val="22"/>
        </w:rPr>
        <w:t xml:space="preserve">[24] </w:t>
      </w:r>
      <w:r>
        <w:rPr>
          <w:bCs/>
          <w:sz w:val="22"/>
          <w:szCs w:val="22"/>
        </w:rPr>
        <w:t>посредством сервиса электронной подачи документов «Мой Арбитр»)</w:t>
      </w:r>
      <w:r>
        <w:rPr>
          <w:sz w:val="22"/>
          <w:szCs w:val="22"/>
          <w:shd w:val="clear" w:color="auto" w:fill="FFFFFF"/>
        </w:rPr>
        <w:t xml:space="preserve"> </w:t>
      </w:r>
      <w:r>
        <w:rPr>
          <w:sz w:val="22"/>
          <w:szCs w:val="22"/>
        </w:rPr>
        <w:t>[</w:t>
      </w:r>
      <w:r>
        <w:rPr>
          <w:rFonts w:eastAsia="Liberation Sans"/>
          <w:color w:val="212121"/>
          <w:sz w:val="22"/>
          <w:szCs w:val="22"/>
        </w:rPr>
        <w:t xml:space="preserve">989] </w:t>
      </w:r>
      <w:r>
        <w:rPr>
          <w:sz w:val="22"/>
          <w:szCs w:val="22"/>
        </w:rPr>
        <w:t>обратилось с заявлением о включении в третью очередь реестра требований кредиторов должника задолженности в размере [12] руб</w:t>
      </w:r>
      <w:r w:rsidR="001D7791">
        <w:rPr>
          <w:sz w:val="22"/>
          <w:szCs w:val="22"/>
        </w:rPr>
        <w:t>.</w:t>
      </w:r>
      <w:r>
        <w:rPr>
          <w:rFonts w:eastAsia="Liberation Sans"/>
          <w:color w:val="212121"/>
          <w:sz w:val="22"/>
          <w:szCs w:val="22"/>
        </w:rPr>
        <w:t> </w:t>
      </w:r>
    </w:p>
    <w:p w14:paraId="280854A0" w14:textId="77777777" w:rsidR="001018F9" w:rsidRDefault="00ED1783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Изучив представленные документы, суд пришел к выводу о несоответствии заявления требованиям статьи 126 Арбитражного процессуального кодекса Российской Федерации.</w:t>
      </w:r>
    </w:p>
    <w:p w14:paraId="62A336C5" w14:textId="77777777" w:rsidR="001018F9" w:rsidRDefault="00ED1783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В соответствии с частью 1 статьи 223 Арбитражного процессуального кодекса Российской Федерации дела о несостоятельности (банкротстве) рассматриваются  арбитражным судом по правилам, предусмотренным Арбитражным процессуальным кодексом Российской Федерации, с особенностями, установленными федеральными законами, регулирующими  вопросы несостоятельности  (банкротства).</w:t>
      </w:r>
    </w:p>
    <w:p w14:paraId="2A7909B2" w14:textId="77777777" w:rsidR="001018F9" w:rsidRDefault="00ED1783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Заявителем не представлены документы, необходимые для принятия предъявленных требований заявителя к производству.</w:t>
      </w:r>
    </w:p>
    <w:p w14:paraId="0075BB3F" w14:textId="77777777" w:rsidR="001018F9" w:rsidRDefault="00ED1783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Согласно части 1 статьи 128 Арбитражного процессуального кодекса Российской Федерации арбитражный суд, установив при рассмотрении вопроса о принятии заявления к производству, что оно подано с нарушением требований, установленных статьями 125 и 126 Арбитражного процессуального кодекса Российской Федерации, выносит определение об оставлении заявления без движения.</w:t>
      </w:r>
    </w:p>
    <w:p w14:paraId="3F9D2199" w14:textId="77777777" w:rsidR="001018F9" w:rsidRDefault="00ED1783">
      <w:pPr>
        <w:ind w:firstLine="708"/>
        <w:jc w:val="both"/>
        <w:outlineLvl w:val="2"/>
        <w:rPr>
          <w:sz w:val="22"/>
          <w:szCs w:val="22"/>
        </w:rPr>
      </w:pPr>
      <w:r>
        <w:rPr>
          <w:sz w:val="22"/>
          <w:szCs w:val="22"/>
        </w:rPr>
        <w:t>Руководствуясь статьями 126, 128, 223 Арбитражного процессуального кодекса Российской Федерации, арбитражный суд</w:t>
      </w:r>
    </w:p>
    <w:p w14:paraId="0A1ECFE4" w14:textId="77777777" w:rsidR="001018F9" w:rsidRDefault="001018F9">
      <w:pPr>
        <w:ind w:firstLine="708"/>
        <w:jc w:val="both"/>
        <w:outlineLvl w:val="2"/>
        <w:rPr>
          <w:sz w:val="22"/>
          <w:szCs w:val="22"/>
        </w:rPr>
      </w:pPr>
    </w:p>
    <w:p w14:paraId="5B1A0C95" w14:textId="77777777" w:rsidR="001018F9" w:rsidRDefault="00ED1783">
      <w:pPr>
        <w:tabs>
          <w:tab w:val="left" w:pos="720"/>
        </w:tabs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О П Р Е Д Е Л И Л:</w:t>
      </w:r>
    </w:p>
    <w:p w14:paraId="11619729" w14:textId="77777777" w:rsidR="001018F9" w:rsidRDefault="001018F9">
      <w:pPr>
        <w:tabs>
          <w:tab w:val="left" w:pos="720"/>
        </w:tabs>
        <w:ind w:firstLine="709"/>
        <w:jc w:val="center"/>
        <w:rPr>
          <w:bCs/>
          <w:sz w:val="22"/>
          <w:szCs w:val="22"/>
        </w:rPr>
      </w:pPr>
    </w:p>
    <w:p w14:paraId="67F0AA01" w14:textId="77777777" w:rsidR="001018F9" w:rsidRDefault="00ED1783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Заявление </w:t>
      </w:r>
      <w:r>
        <w:rPr>
          <w:rFonts w:eastAsia="Liberation Sans"/>
          <w:color w:val="212121"/>
          <w:sz w:val="22"/>
          <w:szCs w:val="22"/>
        </w:rPr>
        <w:t>[989]</w:t>
      </w:r>
      <w:r>
        <w:rPr>
          <w:sz w:val="22"/>
          <w:szCs w:val="22"/>
        </w:rPr>
        <w:t xml:space="preserve"> о включении в реестр требований кредиторов оставить без движения. </w:t>
      </w:r>
    </w:p>
    <w:p w14:paraId="16B6C55A" w14:textId="77777777" w:rsidR="001018F9" w:rsidRDefault="00ED1783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Предложить заявителю в срок </w:t>
      </w:r>
      <w:r>
        <w:rPr>
          <w:b/>
          <w:sz w:val="22"/>
          <w:szCs w:val="22"/>
        </w:rPr>
        <w:t xml:space="preserve">до </w:t>
      </w:r>
      <w:r>
        <w:rPr>
          <w:rFonts w:eastAsia="Liberation Sans"/>
          <w:color w:val="212121"/>
          <w:sz w:val="22"/>
          <w:szCs w:val="22"/>
        </w:rPr>
        <w:t>[20] </w:t>
      </w:r>
      <w:r>
        <w:rPr>
          <w:sz w:val="22"/>
          <w:szCs w:val="22"/>
        </w:rPr>
        <w:t xml:space="preserve"> устранить допущенные нарушения, а именно: представить документы, необходимые для принятия предъявленных требований заявителя к производству.</w:t>
      </w:r>
    </w:p>
    <w:p w14:paraId="7CBDD121" w14:textId="77777777" w:rsidR="001018F9" w:rsidRDefault="00ED1783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Документы, подтверждающие устранение обстоятельств, послуживших основанием для оставления  заявления без движения, должны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</w:p>
    <w:p w14:paraId="190CCB1D" w14:textId="77777777" w:rsidR="001018F9" w:rsidRDefault="00ED1783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>Разъяснить заявителю, что при непредставлении указанных доказательств в предусмотренный определением срок, суд на основании статьи 129 Арбитражного процессуального кодекса Российской Федерации возвращает предъявленное требование.</w:t>
      </w:r>
    </w:p>
    <w:p w14:paraId="1AD8CF36" w14:textId="77777777" w:rsidR="001018F9" w:rsidRDefault="00ED1783">
      <w:pPr>
        <w:shd w:val="clear" w:color="auto" w:fill="FFFFFF"/>
        <w:ind w:firstLine="709"/>
        <w:jc w:val="both"/>
        <w:rPr>
          <w:sz w:val="22"/>
          <w:szCs w:val="22"/>
        </w:rPr>
      </w:pPr>
      <w:r>
        <w:rPr>
          <w:sz w:val="22"/>
          <w:szCs w:val="22"/>
          <w:u w:val="single"/>
        </w:rPr>
        <w:t>Документы,  направляемые в арбитражный суд, должны содержать ссылку на номер дела и обособленного спора, быть поданы на имя судьи</w:t>
      </w:r>
      <w:r>
        <w:rPr>
          <w:sz w:val="22"/>
          <w:szCs w:val="22"/>
        </w:rPr>
        <w:t>.</w:t>
      </w:r>
    </w:p>
    <w:p w14:paraId="0A91FC86" w14:textId="77777777" w:rsidR="001018F9" w:rsidRDefault="00ED1783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12" w:tooltip="http://rostov.arbitr.ru/" w:history="1">
        <w:r>
          <w:rPr>
            <w:sz w:val="22"/>
            <w:szCs w:val="22"/>
          </w:rPr>
          <w:t>http://rostov.arbitr.ru</w:t>
        </w:r>
      </w:hyperlink>
      <w:r>
        <w:rPr>
          <w:sz w:val="22"/>
          <w:szCs w:val="22"/>
        </w:rPr>
        <w:t>.</w:t>
      </w:r>
    </w:p>
    <w:p w14:paraId="1D91531C" w14:textId="77777777" w:rsidR="001018F9" w:rsidRDefault="00ED1783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6B2E1603" w14:textId="77777777" w:rsidR="001018F9" w:rsidRDefault="00ED1783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Как разъяснено в </w:t>
      </w:r>
      <w:proofErr w:type="spellStart"/>
      <w:r>
        <w:rPr>
          <w:i/>
          <w:sz w:val="22"/>
          <w:szCs w:val="22"/>
        </w:rPr>
        <w:t>абз</w:t>
      </w:r>
      <w:proofErr w:type="spellEnd"/>
      <w:r>
        <w:rPr>
          <w:i/>
          <w:sz w:val="22"/>
          <w:szCs w:val="22"/>
        </w:rPr>
        <w:t xml:space="preserve">. 1 п. 36 пленума № 40, в силу </w:t>
      </w:r>
      <w:hyperlink r:id="rId13" w:tooltip="https://login.consultant.ru/link/?req=doc&amp;base=LAW&amp;n=482731&amp;dst=1988" w:history="1">
        <w:r>
          <w:rPr>
            <w:i/>
            <w:sz w:val="22"/>
            <w:szCs w:val="22"/>
          </w:rPr>
          <w:t>части 1 статьи 177</w:t>
        </w:r>
      </w:hyperlink>
      <w:r>
        <w:rPr>
          <w:i/>
          <w:sz w:val="22"/>
          <w:szCs w:val="22"/>
        </w:rPr>
        <w:t xml:space="preserve"> и </w:t>
      </w:r>
      <w:hyperlink r:id="rId14" w:tooltip="https://login.consultant.ru/link/?req=doc&amp;base=LAW&amp;n=482731&amp;dst=1992" w:history="1">
        <w:r>
          <w:rPr>
            <w:i/>
            <w:sz w:val="22"/>
            <w:szCs w:val="22"/>
          </w:rPr>
          <w:t>части 1 статьи 186</w:t>
        </w:r>
      </w:hyperlink>
      <w:r>
        <w:rPr>
          <w:i/>
          <w:sz w:val="22"/>
          <w:szCs w:val="22"/>
        </w:rPr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620F5DCF" w14:textId="77777777" w:rsidR="001018F9" w:rsidRDefault="00ED1783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Изложенный порядок применим как к документарным, так и к иным обособленным спорам по делу о банкротстве.</w:t>
      </w:r>
    </w:p>
    <w:p w14:paraId="028EBD9F" w14:textId="77777777" w:rsidR="001018F9" w:rsidRDefault="001018F9">
      <w:pPr>
        <w:widowControl w:val="0"/>
        <w:shd w:val="clear" w:color="auto" w:fill="FFFFFF"/>
        <w:tabs>
          <w:tab w:val="left" w:pos="566"/>
        </w:tabs>
        <w:jc w:val="both"/>
        <w:rPr>
          <w:sz w:val="22"/>
          <w:szCs w:val="22"/>
        </w:rPr>
      </w:pPr>
    </w:p>
    <w:p w14:paraId="390D340F" w14:textId="77777777" w:rsidR="001018F9" w:rsidRDefault="00ED1783">
      <w:pPr>
        <w:tabs>
          <w:tab w:val="right" w:pos="9354"/>
        </w:tabs>
        <w:jc w:val="both"/>
        <w:rPr>
          <w:sz w:val="22"/>
          <w:szCs w:val="22"/>
          <w:lang w:val="en-US"/>
        </w:rPr>
      </w:pPr>
      <w:r>
        <w:rPr>
          <w:sz w:val="22"/>
          <w:szCs w:val="22"/>
        </w:rPr>
        <w:t>Судья</w:t>
      </w:r>
      <w:r>
        <w:rPr>
          <w:sz w:val="22"/>
          <w:szCs w:val="22"/>
        </w:rPr>
        <w:tab/>
      </w:r>
      <w:r>
        <w:rPr>
          <w:sz w:val="22"/>
          <w:szCs w:val="22"/>
          <w:lang w:val="en-US"/>
        </w:rPr>
        <w:t>[415]</w:t>
      </w:r>
    </w:p>
    <w:p w14:paraId="4A92FF3D" w14:textId="77777777" w:rsidR="001018F9" w:rsidRDefault="001018F9">
      <w:pPr>
        <w:rPr>
          <w:sz w:val="22"/>
          <w:szCs w:val="22"/>
        </w:rPr>
      </w:pPr>
    </w:p>
    <w:p w14:paraId="0456A533" w14:textId="77777777" w:rsidR="001018F9" w:rsidRDefault="001018F9">
      <w:pPr>
        <w:rPr>
          <w:sz w:val="22"/>
          <w:szCs w:val="22"/>
        </w:rPr>
      </w:pPr>
    </w:p>
    <w:p w14:paraId="0B0C476F" w14:textId="77777777" w:rsidR="001018F9" w:rsidRDefault="001018F9">
      <w:pPr>
        <w:rPr>
          <w:sz w:val="22"/>
          <w:szCs w:val="22"/>
        </w:rPr>
      </w:pPr>
    </w:p>
    <w:sectPr w:rsidR="001018F9">
      <w:headerReference w:type="default" r:id="rId15"/>
      <w:headerReference w:type="first" r:id="rId16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907B26" w14:textId="77777777" w:rsidR="00047361" w:rsidRDefault="00047361">
      <w:r>
        <w:separator/>
      </w:r>
    </w:p>
  </w:endnote>
  <w:endnote w:type="continuationSeparator" w:id="0">
    <w:p w14:paraId="1CA99345" w14:textId="77777777" w:rsidR="00047361" w:rsidRDefault="000473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auto"/>
    <w:pitch w:val="default"/>
  </w:font>
  <w:font w:name="Tahoma">
    <w:panose1 w:val="020B060403050404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F41C89" w14:textId="77777777" w:rsidR="00047361" w:rsidRDefault="00047361">
      <w:r>
        <w:separator/>
      </w:r>
    </w:p>
  </w:footnote>
  <w:footnote w:type="continuationSeparator" w:id="0">
    <w:p w14:paraId="2BFB02A0" w14:textId="77777777" w:rsidR="00047361" w:rsidRDefault="000473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</w:tblGrid>
    <w:tr w:rsidR="001018F9" w14:paraId="187F058A" w14:textId="77777777">
      <w:tc>
        <w:tcPr>
          <w:tcW w:w="4785" w:type="dxa"/>
        </w:tcPr>
        <w:p w14:paraId="47A177D5" w14:textId="77777777" w:rsidR="001018F9" w:rsidRDefault="00ED1783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</w:tr>
    <w:tr w:rsidR="001018F9" w14:paraId="2C046F15" w14:textId="77777777">
      <w:tc>
        <w:tcPr>
          <w:tcW w:w="4785" w:type="dxa"/>
        </w:tcPr>
        <w:p w14:paraId="5C044CD5" w14:textId="77777777" w:rsidR="001018F9" w:rsidRDefault="001018F9">
          <w:pPr>
            <w:pStyle w:val="ac"/>
            <w:rPr>
              <w:sz w:val="20"/>
              <w:szCs w:val="20"/>
            </w:rPr>
          </w:pPr>
        </w:p>
      </w:tc>
    </w:tr>
  </w:tbl>
  <w:p w14:paraId="41263B17" w14:textId="77777777" w:rsidR="001018F9" w:rsidRDefault="001018F9">
    <w:pPr>
      <w:pStyle w:val="ac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 w:rsidR="001018F9" w14:paraId="2040D8C2" w14:textId="77777777">
      <w:trPr>
        <w:gridAfter w:val="1"/>
        <w:wAfter w:w="4677" w:type="dxa"/>
      </w:trPr>
      <w:tc>
        <w:tcPr>
          <w:tcW w:w="4785" w:type="dxa"/>
        </w:tcPr>
        <w:p w14:paraId="4184D735" w14:textId="77777777" w:rsidR="001018F9" w:rsidRDefault="001018F9">
          <w:pPr>
            <w:pStyle w:val="ac"/>
            <w:rPr>
              <w:sz w:val="20"/>
              <w:szCs w:val="20"/>
            </w:rPr>
          </w:pPr>
        </w:p>
      </w:tc>
    </w:tr>
    <w:tr w:rsidR="001018F9" w14:paraId="25ECB60E" w14:textId="77777777">
      <w:tc>
        <w:tcPr>
          <w:tcW w:w="4785" w:type="dxa"/>
        </w:tcPr>
        <w:p w14:paraId="72C84F68" w14:textId="77777777" w:rsidR="001018F9" w:rsidRDefault="001018F9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099B4D2F" w14:textId="77777777" w:rsidR="001018F9" w:rsidRDefault="001018F9">
          <w:pPr>
            <w:pStyle w:val="ac"/>
            <w:rPr>
              <w:sz w:val="20"/>
              <w:szCs w:val="20"/>
            </w:rPr>
          </w:pPr>
        </w:p>
      </w:tc>
    </w:tr>
  </w:tbl>
  <w:p w14:paraId="0510F07C" w14:textId="77777777" w:rsidR="001018F9" w:rsidRDefault="001018F9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18F9"/>
    <w:rsid w:val="00047361"/>
    <w:rsid w:val="001018F9"/>
    <w:rsid w:val="001D7791"/>
    <w:rsid w:val="006F032E"/>
    <w:rsid w:val="00ED1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263469"/>
  <w15:docId w15:val="{C5F17DDE-50E5-4D27-9C1C-C4F699A48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rPr>
      <w:rFonts w:ascii="Tahoma" w:hAnsi="Tahoma" w:cs="Tahoma"/>
      <w:sz w:val="16"/>
      <w:szCs w:val="16"/>
    </w:rPr>
  </w:style>
  <w:style w:type="paragraph" w:customStyle="1" w:styleId="pohead">
    <w:name w:val="po_head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Calibri" w:eastAsia="Calibri" w:hAnsi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ogin.consultant.ru/link/?req=doc&amp;amp;amp;amp;base=LAW&amp;amp;amp;amp;n=482731&amp;amp;amp;amp;dst=1988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hyperlink" Target="http://rostov.arbitr.ru/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mailto:info@rostov.arbitr.ru" TargetMode="External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10.png"/><Relationship Id="rId4" Type="http://schemas.openxmlformats.org/officeDocument/2006/relationships/footnotes" Target="footnotes.xml"/><Relationship Id="rId14" Type="http://schemas.openxmlformats.org/officeDocument/2006/relationships/hyperlink" Target="https://login.consultant.ru/link/?req=doc&amp;amp;amp;amp;base=LAW&amp;amp;amp;amp;n=482731&amp;amp;amp;amp;dst=199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768</Words>
  <Characters>4379</Characters>
  <Application>Microsoft Office Word</Application>
  <DocSecurity>0</DocSecurity>
  <Lines>36</Lines>
  <Paragraphs>10</Paragraphs>
  <ScaleCrop>false</ScaleCrop>
  <Company>АСРО</Company>
  <LinksUpToDate>false</LinksUpToDate>
  <CharactersWithSpaces>5137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User</cp:lastModifiedBy>
  <cp:revision>7</cp:revision>
  <dcterms:created xsi:type="dcterms:W3CDTF">2026-10-14T18:19:00Z</dcterms:created>
  <dcterms:modified xsi:type="dcterms:W3CDTF">2026-10-15T16:46:00Z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2cbcb558-206d-489b-9c99-64248876785b</vt:lpwstr>
  </property>
  <property fmtid="{D5CDD505-2E9C-101B-9397-08002B2CF9AE}" pid="3" name="TimeStamp">
    <vt:lpwstr>7</vt:lpwstr>
  </property>
</Properties>
</file>