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16F6E" w14:textId="77777777" w:rsidR="00A33B78" w:rsidRDefault="00A576C9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FA0ECB0" wp14:editId="2BA4E0A6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B05F" w14:textId="77777777" w:rsidR="00A33B78" w:rsidRDefault="00A33B78">
      <w:pPr>
        <w:spacing w:line="360" w:lineRule="auto"/>
        <w:jc w:val="center"/>
        <w:rPr>
          <w:sz w:val="22"/>
          <w:szCs w:val="22"/>
        </w:rPr>
      </w:pPr>
    </w:p>
    <w:p w14:paraId="5EC6E515" w14:textId="77777777" w:rsidR="00A33B78" w:rsidRDefault="00A576C9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0F4F35CB" w14:textId="77777777" w:rsidR="00A33B78" w:rsidRDefault="00A576C9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6CCF5415" w14:textId="77777777" w:rsidR="00A33B78" w:rsidRPr="003A16C0" w:rsidRDefault="00A576C9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3A16C0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3A16C0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3A16C0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3A16C0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3A16C0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3A16C0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3A16C0">
        <w:rPr>
          <w:sz w:val="22"/>
          <w:szCs w:val="22"/>
          <w:lang w:val="en-US"/>
        </w:rPr>
        <w:t xml:space="preserve">: </w:t>
      </w:r>
      <w:hyperlink r:id="rId7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3A16C0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3A16C0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3A16C0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68D99154" w14:textId="77777777" w:rsidR="00A33B78" w:rsidRPr="003A16C0" w:rsidRDefault="00A33B78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7DA92C56" w14:textId="77777777" w:rsidR="00A33B78" w:rsidRDefault="00A576C9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5E16E3DD" w14:textId="77777777" w:rsidR="00A33B78" w:rsidRDefault="00A576C9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2F30829B" w14:textId="77777777" w:rsidR="00A33B78" w:rsidRDefault="00A33B78">
      <w:pPr>
        <w:rPr>
          <w:sz w:val="22"/>
          <w:szCs w:val="22"/>
        </w:rPr>
      </w:pPr>
    </w:p>
    <w:p w14:paraId="730F4EAB" w14:textId="77777777" w:rsidR="00A33B78" w:rsidRDefault="00A576C9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2D49F893" w14:textId="77777777" w:rsidR="00A33B78" w:rsidRDefault="00A576C9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09D1DC06" w14:textId="77777777" w:rsidR="00A33B78" w:rsidRDefault="00A33B78">
      <w:pPr>
        <w:tabs>
          <w:tab w:val="left" w:pos="6300"/>
        </w:tabs>
        <w:rPr>
          <w:bCs/>
          <w:sz w:val="22"/>
          <w:szCs w:val="22"/>
        </w:rPr>
      </w:pPr>
    </w:p>
    <w:p w14:paraId="52F283A2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3CB0B332" w14:textId="77777777" w:rsidR="00A33B78" w:rsidRDefault="00A576C9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61D75ABB" w14:textId="77777777" w:rsidR="00A33B78" w:rsidRDefault="00A576C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1DC0A269" w14:textId="77777777" w:rsidR="00A33B78" w:rsidRDefault="00A576C9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[2] (</w:t>
      </w:r>
      <w:r>
        <w:t xml:space="preserve">ОГРН [3], ИНН [4],</w:t>
      </w:r>
      <w:r>
        <w:rPr>
          <w:sz w:val="22"/>
          <w:szCs w:val="22"/>
        </w:rPr>
        <w:t xml:space="preserve"> адрес: [6]),</w:t>
      </w:r>
    </w:p>
    <w:p w14:paraId="02234DE5" w14:textId="77777777" w:rsidR="00A33B78" w:rsidRDefault="00A33B78">
      <w:pPr>
        <w:jc w:val="both"/>
        <w:rPr>
          <w:sz w:val="22"/>
          <w:szCs w:val="22"/>
        </w:rPr>
      </w:pPr>
    </w:p>
    <w:p w14:paraId="1F700310" w14:textId="77777777" w:rsidR="00A33B78" w:rsidRDefault="00A576C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0041C4A" w14:textId="77777777" w:rsidR="003A16C0" w:rsidRDefault="00A576C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</w:t>
      </w:r>
      <w:r>
        <w:rPr>
          <w:sz w:val="22"/>
          <w:szCs w:val="22"/>
        </w:rPr>
        <w:t>ии процедуры конкурсного производства опубликованы в газете «Коммерсантъ» [67] от [68]</w:t>
      </w:r>
      <w:r w:rsidR="003A16C0">
        <w:rPr>
          <w:sz w:val="22"/>
          <w:szCs w:val="22"/>
        </w:rPr>
        <w:t>.</w:t>
      </w:r>
    </w:p>
    <w:p w14:paraId="2732517C" w14:textId="759D5649" w:rsidR="00A33B78" w:rsidRDefault="00A576C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</w:t>
      </w:r>
      <w:r>
        <w:rPr>
          <w:sz w:val="22"/>
          <w:szCs w:val="22"/>
        </w:rPr>
        <w:t xml:space="preserve">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>[1221]. </w:t>
      </w:r>
    </w:p>
    <w:p w14:paraId="506CD644" w14:textId="77777777" w:rsidR="00A33B78" w:rsidRDefault="00A576C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</w:t>
      </w:r>
      <w:r>
        <w:rPr>
          <w:sz w:val="22"/>
          <w:szCs w:val="22"/>
        </w:rPr>
        <w:t>ссийской Федерации.</w:t>
      </w:r>
    </w:p>
    <w:p w14:paraId="7A64CED5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</w:t>
      </w:r>
      <w:r>
        <w:rPr>
          <w:sz w:val="22"/>
          <w:szCs w:val="22"/>
        </w:rPr>
        <w:t>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085FC34F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</w:t>
      </w:r>
      <w:r>
        <w:rPr>
          <w:sz w:val="22"/>
          <w:szCs w:val="22"/>
        </w:rPr>
        <w:t>тся документ,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</w:t>
      </w:r>
      <w:r>
        <w:rPr>
          <w:sz w:val="22"/>
          <w:szCs w:val="22"/>
        </w:rPr>
        <w:t>шлины.</w:t>
      </w:r>
    </w:p>
    <w:p w14:paraId="5CD45FFA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</w:t>
      </w:r>
      <w:r>
        <w:rPr>
          <w:sz w:val="22"/>
          <w:szCs w:val="22"/>
        </w:rPr>
        <w:t>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</w:p>
    <w:p w14:paraId="5A72CF16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разъяснениями, изложенными в пункте 2 Обзора судебной практики Верховного Суда Росси</w:t>
      </w:r>
      <w:r>
        <w:rPr>
          <w:sz w:val="22"/>
          <w:szCs w:val="22"/>
        </w:rPr>
        <w:t>йской Федерации № 1 (2024) (утв. Президиумом Верховного Суда Российской Федерации от 29.05.2024), рассмотрение дела о банкротстве предполагает разрешение арбитражным судом в его рамках отдельных споров о праве (далее - обособленные споры). В связи с этим п</w:t>
      </w:r>
      <w:r>
        <w:rPr>
          <w:sz w:val="22"/>
          <w:szCs w:val="22"/>
        </w:rPr>
        <w:t xml:space="preserve">ри подаче в деле о банкротстве заявлений и иных требований, связанных с разрешением самостоятельного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</w:t>
      </w:r>
      <w:r>
        <w:rPr>
          <w:sz w:val="22"/>
          <w:szCs w:val="22"/>
        </w:rPr>
        <w:lastRenderedPageBreak/>
        <w:t>требов</w:t>
      </w:r>
      <w:r>
        <w:rPr>
          <w:sz w:val="22"/>
          <w:szCs w:val="22"/>
        </w:rPr>
        <w:t>аний в соответствии с п. 1 ст. 333.21 Налогового кодекса Российской Федерации (далее – НК РФ).</w:t>
      </w:r>
    </w:p>
    <w:p w14:paraId="017F73F6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силу п. 2 ст. 333.21 НК РФ положения данной статьи применяются с учетом положений статьи 333.22 НК РФ. </w:t>
      </w:r>
    </w:p>
    <w:p w14:paraId="1190463D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Так, в силу подп. 9 п. 1 ст. 333.22 НК РФ если одноврем</w:t>
      </w:r>
      <w:r>
        <w:rPr>
          <w:sz w:val="22"/>
          <w:szCs w:val="22"/>
        </w:rPr>
        <w:t>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государственная пошлина, установленная для исковых заявлений имущественного характера, в отношении такого т</w:t>
      </w:r>
      <w:r>
        <w:rPr>
          <w:sz w:val="22"/>
          <w:szCs w:val="22"/>
        </w:rPr>
        <w:t>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</w:p>
    <w:p w14:paraId="66E34988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подп. 4 п. 1 ст. 333.21 НК РФ при подаче искового заявления имущественного харак</w:t>
      </w:r>
      <w:r>
        <w:rPr>
          <w:sz w:val="22"/>
          <w:szCs w:val="22"/>
        </w:rPr>
        <w:t>тера, не подлежащего оценке, искового заявления  неимущественного характера государственная пошлина для физических лиц уплачивается в размере 15 000 рублей, для организаций - в размере 50 000 руб.</w:t>
      </w:r>
    </w:p>
    <w:p w14:paraId="3888D4AA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подп. 9 п. 1 ст. 333.21 НК РФ по заявлениям, требо</w:t>
      </w:r>
      <w:r>
        <w:rPr>
          <w:sz w:val="22"/>
          <w:szCs w:val="22"/>
        </w:rPr>
        <w:t>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настоящим пунктом, исходя из существа заявленных требований.</w:t>
      </w:r>
    </w:p>
    <w:p w14:paraId="74534F47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требования, как обеспеченного залогом имущества.</w:t>
      </w:r>
    </w:p>
    <w:p w14:paraId="3B15489C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</w:t>
      </w:r>
      <w:r>
        <w:rPr>
          <w:sz w:val="22"/>
          <w:szCs w:val="22"/>
        </w:rPr>
        <w:t>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3A8F5F37" w14:textId="77777777" w:rsidR="00A33B78" w:rsidRDefault="00A576C9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</w:t>
      </w:r>
      <w:r>
        <w:rPr>
          <w:sz w:val="22"/>
          <w:szCs w:val="22"/>
        </w:rPr>
        <w:t>, 128, 223 Арбитражного процессуального кодекса Российской Федерации, арбитражный суд</w:t>
      </w:r>
    </w:p>
    <w:p w14:paraId="294492F4" w14:textId="77777777" w:rsidR="00A33B78" w:rsidRDefault="00A33B78">
      <w:pPr>
        <w:ind w:firstLine="708"/>
        <w:jc w:val="both"/>
        <w:outlineLvl w:val="2"/>
        <w:rPr>
          <w:sz w:val="22"/>
          <w:szCs w:val="22"/>
        </w:rPr>
      </w:pPr>
    </w:p>
    <w:p w14:paraId="46C6698A" w14:textId="77777777" w:rsidR="00A33B78" w:rsidRDefault="00A576C9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44CBB73D" w14:textId="77777777" w:rsidR="00A33B78" w:rsidRDefault="00A33B78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56416C69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26E8DC67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</w:t>
      </w:r>
      <w:r>
        <w:rPr>
          <w:sz w:val="22"/>
          <w:szCs w:val="22"/>
        </w:rPr>
        <w:t>я, а именно: представить доказательства оплаты государственной пошлины в части предъявленного требования, как обеспеченного залогом имущества.</w:t>
      </w:r>
    </w:p>
    <w:p w14:paraId="4E5C103E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</w:t>
      </w:r>
      <w:r>
        <w:rPr>
          <w:sz w:val="22"/>
          <w:szCs w:val="22"/>
        </w:rPr>
        <w:t>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3CE7F689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</w:t>
      </w:r>
      <w:r>
        <w:rPr>
          <w:sz w:val="22"/>
          <w:szCs w:val="22"/>
        </w:rPr>
        <w:t>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29E9C1B5" w14:textId="77777777" w:rsidR="00A33B78" w:rsidRDefault="00A576C9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07B911BA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</w:t>
      </w:r>
      <w:r>
        <w:rPr>
          <w:sz w:val="22"/>
          <w:szCs w:val="22"/>
        </w:rPr>
        <w:t xml:space="preserve">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8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61E9BF4C" w14:textId="77777777" w:rsidR="00A33B78" w:rsidRDefault="00A576C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</w:t>
      </w:r>
      <w:r>
        <w:rPr>
          <w:i/>
          <w:sz w:val="22"/>
          <w:szCs w:val="22"/>
        </w:rPr>
        <w:t>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</w:t>
      </w:r>
      <w:r>
        <w:rPr>
          <w:i/>
          <w:sz w:val="22"/>
          <w:szCs w:val="22"/>
        </w:rPr>
        <w:t>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</w:t>
      </w:r>
      <w:r>
        <w:rPr>
          <w:i/>
          <w:sz w:val="22"/>
          <w:szCs w:val="22"/>
        </w:rPr>
        <w:t xml:space="preserve">татьи 186 АПК РФ). </w:t>
      </w:r>
    </w:p>
    <w:p w14:paraId="5F5C9F53" w14:textId="77777777" w:rsidR="00A33B78" w:rsidRDefault="00A576C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lastRenderedPageBreak/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9" w:tooltip="https://login.consultant.ru/link/?req=doc&amp;base=LAW&amp;n=482731&amp;dst=1988" w:history="1">
        <w:r>
          <w:rPr>
            <w:i/>
            <w:sz w:val="22"/>
            <w:szCs w:val="22"/>
          </w:rPr>
          <w:t>ча</w:t>
        </w:r>
        <w:r>
          <w:rPr>
            <w:i/>
            <w:sz w:val="22"/>
            <w:szCs w:val="22"/>
          </w:rPr>
          <w:t>сти 1 статьи 177</w:t>
        </w:r>
      </w:hyperlink>
      <w:r>
        <w:rPr>
          <w:i/>
          <w:sz w:val="22"/>
          <w:szCs w:val="22"/>
        </w:rPr>
        <w:t xml:space="preserve"> и </w:t>
      </w:r>
      <w:hyperlink r:id="rId10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</w:t>
      </w:r>
      <w:r>
        <w:rPr>
          <w:i/>
          <w:sz w:val="22"/>
          <w:szCs w:val="22"/>
        </w:rPr>
        <w:t>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</w:t>
      </w:r>
      <w:r>
        <w:rPr>
          <w:i/>
          <w:sz w:val="22"/>
          <w:szCs w:val="22"/>
        </w:rPr>
        <w:t>рнет».</w:t>
      </w:r>
    </w:p>
    <w:p w14:paraId="7F590F63" w14:textId="77777777" w:rsidR="00A33B78" w:rsidRDefault="00A576C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16B039CF" w14:textId="77777777" w:rsidR="00A33B78" w:rsidRDefault="00A33B78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01A682F5" w14:textId="77777777" w:rsidR="00A33B78" w:rsidRDefault="00A576C9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BFAB2CA" w14:textId="77777777" w:rsidR="00A33B78" w:rsidRDefault="00A33B78">
      <w:pPr>
        <w:rPr>
          <w:sz w:val="22"/>
          <w:szCs w:val="22"/>
        </w:rPr>
      </w:pPr>
    </w:p>
    <w:p w14:paraId="0BA9DBA9" w14:textId="77777777" w:rsidR="00A33B78" w:rsidRDefault="00A33B78">
      <w:pPr>
        <w:rPr>
          <w:sz w:val="22"/>
          <w:szCs w:val="22"/>
        </w:rPr>
      </w:pPr>
    </w:p>
    <w:p w14:paraId="0E5C8D2F" w14:textId="77777777" w:rsidR="00A33B78" w:rsidRDefault="00A33B78">
      <w:pPr>
        <w:rPr>
          <w:sz w:val="22"/>
          <w:szCs w:val="22"/>
        </w:rPr>
      </w:pPr>
    </w:p>
    <w:sectPr w:rsidR="00A33B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34490" w14:textId="77777777" w:rsidR="00A576C9" w:rsidRDefault="00A576C9">
      <w:r>
        <w:separator/>
      </w:r>
    </w:p>
  </w:endnote>
  <w:endnote w:type="continuationSeparator" w:id="0">
    <w:p w14:paraId="203242F4" w14:textId="77777777" w:rsidR="00A576C9" w:rsidRDefault="00A57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2341" w14:textId="77777777" w:rsidR="00A33B78" w:rsidRDefault="00A33B7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AC1AF" w14:textId="77777777" w:rsidR="00A33B78" w:rsidRDefault="00A33B7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361C4" w14:textId="77777777" w:rsidR="00A33B78" w:rsidRDefault="00A33B7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4826F" w14:textId="77777777" w:rsidR="00A576C9" w:rsidRDefault="00A576C9">
      <w:r>
        <w:separator/>
      </w:r>
    </w:p>
  </w:footnote>
  <w:footnote w:type="continuationSeparator" w:id="0">
    <w:p w14:paraId="0A04F478" w14:textId="77777777" w:rsidR="00A576C9" w:rsidRDefault="00A576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B0116" w14:textId="77777777" w:rsidR="00A33B78" w:rsidRDefault="00A33B7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A33B78" w14:paraId="27D0E0D5" w14:textId="77777777">
      <w:tc>
        <w:tcPr>
          <w:tcW w:w="4785" w:type="dxa"/>
        </w:tcPr>
        <w:p w14:paraId="1469543A" w14:textId="77777777" w:rsidR="00A33B78" w:rsidRDefault="00A576C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A33B78" w14:paraId="32A9E40F" w14:textId="77777777">
      <w:tc>
        <w:tcPr>
          <w:tcW w:w="4785" w:type="dxa"/>
        </w:tcPr>
        <w:p w14:paraId="134E01DB" w14:textId="77777777" w:rsidR="00A33B78" w:rsidRDefault="00A33B78">
          <w:pPr>
            <w:pStyle w:val="ac"/>
            <w:rPr>
              <w:sz w:val="20"/>
              <w:szCs w:val="20"/>
            </w:rPr>
          </w:pPr>
        </w:p>
      </w:tc>
    </w:tr>
  </w:tbl>
  <w:p w14:paraId="3A9EE173" w14:textId="77777777" w:rsidR="00A33B78" w:rsidRDefault="00A33B78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33B78" w14:paraId="662797FE" w14:textId="77777777">
      <w:trPr>
        <w:gridAfter w:val="1"/>
        <w:wAfter w:w="4785" w:type="dxa"/>
      </w:trPr>
      <w:tc>
        <w:tcPr>
          <w:tcW w:w="4785" w:type="dxa"/>
        </w:tcPr>
        <w:p w14:paraId="52140C45" w14:textId="77777777" w:rsidR="00A33B78" w:rsidRDefault="00A33B78">
          <w:pPr>
            <w:pStyle w:val="ac"/>
            <w:rPr>
              <w:sz w:val="20"/>
              <w:szCs w:val="20"/>
            </w:rPr>
          </w:pPr>
        </w:p>
      </w:tc>
    </w:tr>
    <w:tr w:rsidR="00A33B78" w14:paraId="265E9A25" w14:textId="77777777">
      <w:tc>
        <w:tcPr>
          <w:tcW w:w="4785" w:type="dxa"/>
        </w:tcPr>
        <w:p w14:paraId="17FEDED1" w14:textId="77777777" w:rsidR="00A33B78" w:rsidRDefault="00A33B7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7B6AEDA" w14:textId="77777777" w:rsidR="00A33B78" w:rsidRDefault="00A33B78">
          <w:pPr>
            <w:pStyle w:val="ac"/>
            <w:rPr>
              <w:sz w:val="20"/>
              <w:szCs w:val="20"/>
            </w:rPr>
          </w:pPr>
        </w:p>
      </w:tc>
    </w:tr>
  </w:tbl>
  <w:p w14:paraId="164C32B8" w14:textId="77777777" w:rsidR="00A33B78" w:rsidRDefault="00A33B7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3B78"/>
    <w:rsid w:val="003A16C0"/>
    <w:rsid w:val="00A33B78"/>
    <w:rsid w:val="00A5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EA2C5"/>
  <w15:docId w15:val="{6B71D1D1-BD5F-465B-BB7E-31B0A5A7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stov.arbitr.ru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s://login.consultant.ru/link/?req=doc&amp;amp;amp;base=LAW&amp;amp;amp;n=482731&amp;amp;amp;dst=19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amp;amp;base=LAW&amp;amp;amp;n=482731&amp;amp;amp;dst=1988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1178</Words>
  <Characters>6718</Characters>
  <Application>Microsoft Office Word</Application>
  <DocSecurity>0</DocSecurity>
  <Lines>55</Lines>
  <Paragraphs>15</Paragraphs>
  <ScaleCrop>false</ScaleCrop>
  <Company>АСРО</Company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17</cp:revision>
  <dcterms:created xsi:type="dcterms:W3CDTF">2026-02-17T07:59:00Z</dcterms:created>
  <dcterms:modified xsi:type="dcterms:W3CDTF">2026-10-15T16:51:00Z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