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83C333" w14:textId="77777777" w:rsidR="00A0795A" w:rsidRDefault="00EA6958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g">
            <w:drawing>
              <wp:inline distT="0" distB="0" distL="0" distR="0" wp14:anchorId="3B5F0DB5" wp14:editId="489DA781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6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</w:p>
    <w:p w14:paraId="49E44ABA" w14:textId="77777777" w:rsidR="00A0795A" w:rsidRDefault="00A0795A">
      <w:pPr>
        <w:spacing w:line="360" w:lineRule="auto"/>
        <w:jc w:val="center"/>
        <w:rPr>
          <w:sz w:val="22"/>
          <w:szCs w:val="22"/>
        </w:rPr>
      </w:pPr>
    </w:p>
    <w:p w14:paraId="56139B2F" w14:textId="77777777" w:rsidR="00A0795A" w:rsidRDefault="00EA6958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АРБИТРАЖНЫЙ СУД РОСТОВСКОЙ ОБЛАСТИ</w:t>
      </w:r>
    </w:p>
    <w:p w14:paraId="49353D34" w14:textId="77777777" w:rsidR="00A0795A" w:rsidRDefault="00EA6958">
      <w:pPr>
        <w:jc w:val="center"/>
        <w:rPr>
          <w:sz w:val="22"/>
          <w:szCs w:val="22"/>
        </w:rPr>
      </w:pPr>
      <w:r>
        <w:rPr>
          <w:sz w:val="22"/>
          <w:szCs w:val="22"/>
        </w:rPr>
        <w:t>344 002 г. Ростов-на-Дону, ул. Станиславского, 10/11-13</w:t>
      </w:r>
    </w:p>
    <w:p w14:paraId="1A79D9A5" w14:textId="77777777" w:rsidR="00A0795A" w:rsidRPr="00C425DF" w:rsidRDefault="00EA6958">
      <w:pPr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http</w:t>
      </w:r>
      <w:r w:rsidRPr="00C425DF">
        <w:rPr>
          <w:sz w:val="22"/>
          <w:szCs w:val="22"/>
          <w:lang w:val="en-US"/>
        </w:rPr>
        <w:t>://</w:t>
      </w:r>
      <w:r>
        <w:rPr>
          <w:sz w:val="22"/>
          <w:szCs w:val="22"/>
          <w:lang w:val="en-US"/>
        </w:rPr>
        <w:t>www</w:t>
      </w:r>
      <w:r w:rsidRPr="00C425DF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rostov</w:t>
      </w:r>
      <w:r w:rsidRPr="00C425DF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arbitr</w:t>
      </w:r>
      <w:r w:rsidRPr="00C425DF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ru</w:t>
      </w:r>
      <w:r w:rsidRPr="00C425DF">
        <w:rPr>
          <w:sz w:val="22"/>
          <w:szCs w:val="22"/>
          <w:lang w:val="en-US"/>
        </w:rPr>
        <w:t xml:space="preserve">; </w:t>
      </w:r>
      <w:r>
        <w:rPr>
          <w:sz w:val="22"/>
          <w:szCs w:val="22"/>
        </w:rPr>
        <w:t>е</w:t>
      </w:r>
      <w:r w:rsidRPr="00C425DF">
        <w:rPr>
          <w:sz w:val="22"/>
          <w:szCs w:val="22"/>
          <w:lang w:val="en-US"/>
        </w:rPr>
        <w:t>-</w:t>
      </w:r>
      <w:r>
        <w:rPr>
          <w:sz w:val="22"/>
          <w:szCs w:val="22"/>
          <w:lang w:val="en-US"/>
        </w:rPr>
        <w:t>mail</w:t>
      </w:r>
      <w:r w:rsidRPr="00C425DF">
        <w:rPr>
          <w:sz w:val="22"/>
          <w:szCs w:val="22"/>
          <w:lang w:val="en-US"/>
        </w:rPr>
        <w:t xml:space="preserve">: </w:t>
      </w:r>
      <w:hyperlink r:id="rId11" w:tooltip="mailto:info@rostov.arbitr.ru" w:history="1">
        <w:r>
          <w:rPr>
            <w:color w:val="0000FF"/>
            <w:sz w:val="22"/>
            <w:szCs w:val="22"/>
            <w:u w:val="single"/>
            <w:lang w:val="en-US"/>
          </w:rPr>
          <w:t>info</w:t>
        </w:r>
        <w:r w:rsidRPr="00C425DF">
          <w:rPr>
            <w:color w:val="0000FF"/>
            <w:sz w:val="22"/>
            <w:szCs w:val="22"/>
            <w:u w:val="single"/>
            <w:lang w:val="en-US"/>
          </w:rPr>
          <w:t>@</w:t>
        </w:r>
        <w:r>
          <w:rPr>
            <w:color w:val="0000FF"/>
            <w:sz w:val="22"/>
            <w:szCs w:val="22"/>
            <w:u w:val="single"/>
            <w:lang w:val="en-US"/>
          </w:rPr>
          <w:t>rostov</w:t>
        </w:r>
        <w:r w:rsidRPr="00C425DF">
          <w:rPr>
            <w:color w:val="0000FF"/>
            <w:sz w:val="22"/>
            <w:szCs w:val="22"/>
            <w:u w:val="single"/>
            <w:lang w:val="en-US"/>
          </w:rPr>
          <w:t>.</w:t>
        </w:r>
        <w:r>
          <w:rPr>
            <w:color w:val="0000FF"/>
            <w:sz w:val="22"/>
            <w:szCs w:val="22"/>
            <w:u w:val="single"/>
            <w:lang w:val="en-US"/>
          </w:rPr>
          <w:t>arbitr</w:t>
        </w:r>
        <w:r w:rsidRPr="00C425DF">
          <w:rPr>
            <w:color w:val="0000FF"/>
            <w:sz w:val="22"/>
            <w:szCs w:val="22"/>
            <w:u w:val="single"/>
            <w:lang w:val="en-US"/>
          </w:rPr>
          <w:t>.</w:t>
        </w:r>
        <w:r>
          <w:rPr>
            <w:color w:val="0000FF"/>
            <w:sz w:val="22"/>
            <w:szCs w:val="22"/>
            <w:u w:val="single"/>
            <w:lang w:val="en-US"/>
          </w:rPr>
          <w:t>ru</w:t>
        </w:r>
      </w:hyperlink>
    </w:p>
    <w:p w14:paraId="4F9F5C0B" w14:textId="77777777" w:rsidR="00A0795A" w:rsidRPr="00C425DF" w:rsidRDefault="00A0795A">
      <w:pPr>
        <w:spacing w:line="360" w:lineRule="auto"/>
        <w:jc w:val="center"/>
        <w:outlineLvl w:val="0"/>
        <w:rPr>
          <w:b/>
          <w:sz w:val="22"/>
          <w:szCs w:val="22"/>
          <w:lang w:val="en-US"/>
        </w:rPr>
      </w:pPr>
    </w:p>
    <w:p w14:paraId="2F9AE851" w14:textId="77777777" w:rsidR="00A0795A" w:rsidRDefault="00EA6958">
      <w:pPr>
        <w:spacing w:line="360" w:lineRule="auto"/>
        <w:jc w:val="center"/>
        <w:outlineLvl w:val="0"/>
        <w:rPr>
          <w:b/>
          <w:sz w:val="22"/>
          <w:szCs w:val="22"/>
        </w:rPr>
      </w:pPr>
      <w:r>
        <w:rPr>
          <w:b/>
          <w:sz w:val="22"/>
          <w:szCs w:val="22"/>
        </w:rPr>
        <w:t>О П Р Е Д Е Л Е Н И Е</w:t>
      </w:r>
    </w:p>
    <w:p w14:paraId="64CF287E" w14:textId="77777777" w:rsidR="00A0795A" w:rsidRDefault="00EA6958">
      <w:pPr>
        <w:jc w:val="center"/>
        <w:rPr>
          <w:sz w:val="22"/>
          <w:szCs w:val="22"/>
        </w:rPr>
      </w:pPr>
      <w:r>
        <w:rPr>
          <w:sz w:val="22"/>
          <w:szCs w:val="22"/>
        </w:rPr>
        <w:t>об оставлении заявления без движения</w:t>
      </w:r>
    </w:p>
    <w:p w14:paraId="7A514508" w14:textId="77777777" w:rsidR="00A0795A" w:rsidRDefault="00A0795A">
      <w:pPr>
        <w:rPr>
          <w:sz w:val="22"/>
          <w:szCs w:val="22"/>
        </w:rPr>
      </w:pPr>
    </w:p>
    <w:p w14:paraId="1AD24D41" w14:textId="77777777" w:rsidR="00A0795A" w:rsidRDefault="00EA6958">
      <w:pPr>
        <w:rPr>
          <w:sz w:val="22"/>
          <w:szCs w:val="22"/>
        </w:rPr>
      </w:pPr>
      <w:r>
        <w:rPr>
          <w:sz w:val="22"/>
          <w:szCs w:val="22"/>
        </w:rPr>
        <w:t>г. Ростов-на-Дону</w:t>
      </w:r>
    </w:p>
    <w:p w14:paraId="10EA6825" w14:textId="77777777" w:rsidR="00A0795A" w:rsidRDefault="00EA6958">
      <w:pPr>
        <w:tabs>
          <w:tab w:val="right" w:pos="9354"/>
        </w:tabs>
        <w:rPr>
          <w:bCs/>
          <w:sz w:val="22"/>
          <w:szCs w:val="22"/>
        </w:rPr>
      </w:pPr>
      <w:r>
        <w:rPr>
          <w:sz w:val="22"/>
          <w:szCs w:val="22"/>
        </w:rPr>
        <w:t>[66]</w:t>
      </w:r>
      <w:r>
        <w:rPr>
          <w:sz w:val="22"/>
          <w:szCs w:val="22"/>
        </w:rPr>
        <w:tab/>
        <w:t>Дело № А53-[1]/[22]</w:t>
      </w:r>
    </w:p>
    <w:p w14:paraId="0BAA0965" w14:textId="77777777" w:rsidR="00A0795A" w:rsidRDefault="00A0795A">
      <w:pPr>
        <w:tabs>
          <w:tab w:val="left" w:pos="6300"/>
        </w:tabs>
        <w:rPr>
          <w:bCs/>
          <w:sz w:val="22"/>
          <w:szCs w:val="22"/>
        </w:rPr>
      </w:pPr>
    </w:p>
    <w:p w14:paraId="795D1B68" w14:textId="77777777" w:rsidR="00C425DF" w:rsidRPr="00C425DF" w:rsidRDefault="00C425DF" w:rsidP="00C425DF">
      <w:pPr>
        <w:ind w:firstLine="708"/>
        <w:jc w:val="both"/>
        <w:rPr>
          <w:sz w:val="22"/>
          <w:szCs w:val="22"/>
        </w:rPr>
      </w:pPr>
      <w:r w:rsidRPr="00C425DF">
        <w:rPr>
          <w:sz w:val="22"/>
          <w:szCs w:val="22"/>
        </w:rPr>
        <w:t>Арбитражный суд Ростовской области в составе судьи [415],</w:t>
      </w:r>
    </w:p>
    <w:p w14:paraId="03F14D4F" w14:textId="77777777" w:rsidR="00C425DF" w:rsidRPr="00C425DF" w:rsidRDefault="00C425DF" w:rsidP="00C425DF">
      <w:pPr>
        <w:jc w:val="both"/>
        <w:rPr>
          <w:sz w:val="22"/>
          <w:szCs w:val="22"/>
        </w:rPr>
      </w:pPr>
      <w:r w:rsidRPr="00C425DF">
        <w:rPr>
          <w:sz w:val="22"/>
          <w:szCs w:val="22"/>
        </w:rPr>
        <w:t>ознакомившись с заявлением [2.1] (ОГРНИП [4.1], ИНН [4], адрес регистрации: [6])</w:t>
      </w:r>
    </w:p>
    <w:p w14:paraId="3AC47059" w14:textId="0A4B9C09" w:rsidR="00A0795A" w:rsidRDefault="00C425DF" w:rsidP="00C425DF">
      <w:pPr>
        <w:jc w:val="both"/>
        <w:rPr>
          <w:sz w:val="22"/>
          <w:szCs w:val="22"/>
        </w:rPr>
      </w:pPr>
      <w:r w:rsidRPr="00C425DF">
        <w:rPr>
          <w:sz w:val="22"/>
          <w:szCs w:val="22"/>
        </w:rPr>
        <w:t>о признании его несостоятельным (банкротом),</w:t>
      </w:r>
    </w:p>
    <w:p w14:paraId="11ADC33D" w14:textId="77777777" w:rsidR="00C425DF" w:rsidRDefault="00C425DF" w:rsidP="00C425DF">
      <w:pPr>
        <w:jc w:val="both"/>
        <w:rPr>
          <w:sz w:val="22"/>
          <w:szCs w:val="22"/>
        </w:rPr>
      </w:pPr>
    </w:p>
    <w:p w14:paraId="0FD6DE5A" w14:textId="02B068F1" w:rsidR="00A0795A" w:rsidRDefault="00EA6958" w:rsidP="00C425DF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установил: </w:t>
      </w:r>
      <w:r w:rsidR="00C425DF" w:rsidRPr="00C425DF">
        <w:rPr>
          <w:sz w:val="22"/>
          <w:szCs w:val="22"/>
        </w:rPr>
        <w:t>гражданин обратился в Арбитражный суд Ростовской области с заявлением о признании его несостоятельным (банкротом).</w:t>
      </w:r>
    </w:p>
    <w:p w14:paraId="411CDCEA" w14:textId="77777777" w:rsidR="00A0795A" w:rsidRDefault="00EA6958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Изучив представленные документы, суд пришел к выводу о несоответствии заявления требованиям статьи 126 Арбитражного процессуального кодекса Российской Федерации.</w:t>
      </w:r>
    </w:p>
    <w:p w14:paraId="0B53DC05" w14:textId="77777777" w:rsidR="00A0795A" w:rsidRDefault="00EA6958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соответствии с частью 1 статьи 223 Арбитражного процессуального кодекса Российской Федерации дела о несостоятельности (банкротстве) рассматриваются  арбитражным судом по правилам, предусмотренным Арбитражным процессуальным кодексом Российской Федерации, с особенностями, установленными федеральными законами, регулирующими  вопросы несостоятельности  (банкротства).</w:t>
      </w:r>
    </w:p>
    <w:p w14:paraId="2B2C6B95" w14:textId="77777777" w:rsidR="00A0795A" w:rsidRDefault="00EA6958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Заявителем не представлены документы, необходимые для принятия предъявленных требований заявителя к производству.</w:t>
      </w:r>
    </w:p>
    <w:p w14:paraId="6227FCB5" w14:textId="77777777" w:rsidR="00A0795A" w:rsidRDefault="00EA6958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Согласно части 1 статьи 128 Арбитражного процессуального кодекса Российской Федерации арбитражный суд, установив при рассмотрении вопроса о принятии заявления к производству, что оно подано с нарушением требований, установленных статьями 125 и 126 Арбитражного процессуального кодекса Российской Федерации, выносит определение об оставлении заявления без движения.</w:t>
      </w:r>
    </w:p>
    <w:p w14:paraId="331693D5" w14:textId="77777777" w:rsidR="00A0795A" w:rsidRDefault="00EA6958">
      <w:pPr>
        <w:ind w:firstLine="708"/>
        <w:jc w:val="both"/>
        <w:outlineLvl w:val="2"/>
        <w:rPr>
          <w:sz w:val="22"/>
          <w:szCs w:val="22"/>
        </w:rPr>
      </w:pPr>
      <w:r>
        <w:rPr>
          <w:sz w:val="22"/>
          <w:szCs w:val="22"/>
        </w:rPr>
        <w:t>Руководствуясь статьями 126, 128, 223 Арбитражного процессуального кодекса Российской Федерации, арбитражный суд</w:t>
      </w:r>
    </w:p>
    <w:p w14:paraId="04321153" w14:textId="77777777" w:rsidR="00A0795A" w:rsidRDefault="00A0795A">
      <w:pPr>
        <w:ind w:firstLine="708"/>
        <w:jc w:val="both"/>
        <w:outlineLvl w:val="2"/>
        <w:rPr>
          <w:sz w:val="22"/>
          <w:szCs w:val="22"/>
        </w:rPr>
      </w:pPr>
    </w:p>
    <w:p w14:paraId="0FCF4072" w14:textId="77777777" w:rsidR="00A0795A" w:rsidRDefault="00EA6958">
      <w:pPr>
        <w:tabs>
          <w:tab w:val="left" w:pos="720"/>
        </w:tabs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О П Р Е Д Е Л И Л:</w:t>
      </w:r>
    </w:p>
    <w:p w14:paraId="1CE81E19" w14:textId="77777777" w:rsidR="00A0795A" w:rsidRDefault="00A0795A">
      <w:pPr>
        <w:tabs>
          <w:tab w:val="left" w:pos="720"/>
        </w:tabs>
        <w:ind w:firstLine="709"/>
        <w:jc w:val="center"/>
        <w:rPr>
          <w:bCs/>
          <w:sz w:val="22"/>
          <w:szCs w:val="22"/>
        </w:rPr>
      </w:pPr>
    </w:p>
    <w:p w14:paraId="0FD75FE7" w14:textId="1204D7C6" w:rsidR="00A0795A" w:rsidRPr="00C425DF" w:rsidRDefault="00EA6958" w:rsidP="00C425DF">
      <w:pPr>
        <w:ind w:firstLine="709"/>
        <w:jc w:val="both"/>
        <w:rPr>
          <w:rFonts w:eastAsia="Liberation Sans"/>
          <w:color w:val="212121"/>
          <w:sz w:val="22"/>
          <w:szCs w:val="22"/>
        </w:rPr>
      </w:pPr>
      <w:r>
        <w:rPr>
          <w:sz w:val="22"/>
          <w:szCs w:val="22"/>
        </w:rPr>
        <w:t xml:space="preserve">Заявление </w:t>
      </w:r>
      <w:r w:rsidR="00C425DF" w:rsidRPr="00C425DF">
        <w:rPr>
          <w:rFonts w:eastAsia="Liberation Sans"/>
          <w:color w:val="212121"/>
          <w:sz w:val="22"/>
          <w:szCs w:val="22"/>
        </w:rPr>
        <w:t>[2.1] (ОГРНИП [4.1], ИНН [4], адрес регистрации: [6])</w:t>
      </w:r>
      <w:r w:rsidR="00C425DF">
        <w:rPr>
          <w:rFonts w:eastAsia="Liberation Sans"/>
          <w:color w:val="212121"/>
          <w:sz w:val="22"/>
          <w:szCs w:val="22"/>
        </w:rPr>
        <w:t xml:space="preserve"> </w:t>
      </w:r>
      <w:r w:rsidR="00C425DF" w:rsidRPr="00C425DF">
        <w:rPr>
          <w:rFonts w:eastAsia="Liberation Sans"/>
          <w:color w:val="212121"/>
          <w:sz w:val="22"/>
          <w:szCs w:val="22"/>
        </w:rPr>
        <w:t>о признании его несостоятельным (банкротом),</w:t>
      </w:r>
      <w:r>
        <w:rPr>
          <w:sz w:val="22"/>
          <w:szCs w:val="22"/>
        </w:rPr>
        <w:t xml:space="preserve">оставить без движения. </w:t>
      </w:r>
    </w:p>
    <w:p w14:paraId="5486EAF2" w14:textId="77777777" w:rsidR="00A0795A" w:rsidRDefault="00EA6958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Предложить заявителю в срок </w:t>
      </w:r>
      <w:r>
        <w:rPr>
          <w:b/>
          <w:sz w:val="22"/>
          <w:szCs w:val="22"/>
        </w:rPr>
        <w:t xml:space="preserve">до </w:t>
      </w:r>
      <w:r>
        <w:rPr>
          <w:rFonts w:eastAsia="Liberation Sans"/>
          <w:color w:val="212121"/>
          <w:sz w:val="22"/>
          <w:szCs w:val="22"/>
        </w:rPr>
        <w:t>[20] </w:t>
      </w:r>
      <w:r>
        <w:rPr>
          <w:sz w:val="22"/>
          <w:szCs w:val="22"/>
        </w:rPr>
        <w:t xml:space="preserve"> устранить допущенные нарушения, а именно: представить документы, необходимые для принятия предъявленных требований заявителя к производству.</w:t>
      </w:r>
    </w:p>
    <w:p w14:paraId="56F0316F" w14:textId="77777777" w:rsidR="00A0795A" w:rsidRDefault="00EA6958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Документы, подтверждающие устранение обстоятельств, послуживших основанием для оставления  заявления без движения, должны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</w:p>
    <w:p w14:paraId="57A56243" w14:textId="73B6E4DE" w:rsidR="00A0795A" w:rsidRDefault="00EA6958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Разъяснить заявителю, что при непредставлении указанных доказательств в предусмотренный определением срок, суд на основании статьи 129 Арбитражного процессуального кодекса Российской Федерации возвращает </w:t>
      </w:r>
      <w:r w:rsidR="00AF4B65">
        <w:rPr>
          <w:sz w:val="22"/>
          <w:szCs w:val="22"/>
        </w:rPr>
        <w:t>заявление</w:t>
      </w:r>
      <w:r>
        <w:rPr>
          <w:sz w:val="22"/>
          <w:szCs w:val="22"/>
        </w:rPr>
        <w:t>.</w:t>
      </w:r>
    </w:p>
    <w:p w14:paraId="7EB7969A" w14:textId="77777777" w:rsidR="00A0795A" w:rsidRDefault="00EA6958">
      <w:pPr>
        <w:shd w:val="clear" w:color="auto" w:fill="FFFFFF"/>
        <w:ind w:firstLine="709"/>
        <w:jc w:val="both"/>
        <w:rPr>
          <w:sz w:val="22"/>
          <w:szCs w:val="22"/>
        </w:rPr>
      </w:pPr>
      <w:r>
        <w:rPr>
          <w:sz w:val="22"/>
          <w:szCs w:val="22"/>
          <w:u w:val="single"/>
        </w:rPr>
        <w:t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rPr>
          <w:sz w:val="22"/>
          <w:szCs w:val="22"/>
        </w:rPr>
        <w:t>.</w:t>
      </w:r>
    </w:p>
    <w:p w14:paraId="64199238" w14:textId="77777777" w:rsidR="00A0795A" w:rsidRDefault="00EA6958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2" w:tooltip="http://rostov.arbitr.ru/" w:history="1">
        <w:r>
          <w:rPr>
            <w:sz w:val="22"/>
            <w:szCs w:val="22"/>
          </w:rPr>
          <w:t>http://rostov.arbitr.ru</w:t>
        </w:r>
      </w:hyperlink>
      <w:r>
        <w:rPr>
          <w:sz w:val="22"/>
          <w:szCs w:val="22"/>
        </w:rPr>
        <w:t>.</w:t>
      </w:r>
    </w:p>
    <w:p w14:paraId="440B6D59" w14:textId="77777777" w:rsidR="00A0795A" w:rsidRDefault="00EA6958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056EC49B" w14:textId="77777777" w:rsidR="00A0795A" w:rsidRDefault="00EA6958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Как разъяснено в абз. 1 п. 36 пленума № 40, в силу </w:t>
      </w:r>
      <w:hyperlink r:id="rId13" w:tooltip="https://login.consultant.ru/link/?req=doc&amp;base=LAW&amp;n=482731&amp;dst=1988" w:history="1">
        <w:r>
          <w:rPr>
            <w:i/>
            <w:sz w:val="22"/>
            <w:szCs w:val="22"/>
          </w:rPr>
          <w:t>части 1 статьи 177</w:t>
        </w:r>
      </w:hyperlink>
      <w:r>
        <w:rPr>
          <w:i/>
          <w:sz w:val="22"/>
          <w:szCs w:val="22"/>
        </w:rPr>
        <w:t xml:space="preserve"> и </w:t>
      </w:r>
      <w:hyperlink r:id="rId14" w:tooltip="https://login.consultant.ru/link/?req=doc&amp;base=LAW&amp;n=482731&amp;dst=1992" w:history="1">
        <w:r>
          <w:rPr>
            <w:i/>
            <w:sz w:val="22"/>
            <w:szCs w:val="22"/>
          </w:rPr>
          <w:t>части 1 статьи 186</w:t>
        </w:r>
      </w:hyperlink>
      <w:r>
        <w:rPr>
          <w:i/>
          <w:sz w:val="22"/>
          <w:szCs w:val="22"/>
        </w:rP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0579168D" w14:textId="77777777" w:rsidR="00A0795A" w:rsidRDefault="00EA6958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Изложенный порядок применим как к документарным, так и к иным обособленным спорам по делу о банкротстве.</w:t>
      </w:r>
    </w:p>
    <w:p w14:paraId="1162C118" w14:textId="77777777" w:rsidR="00A0795A" w:rsidRDefault="00A0795A">
      <w:pPr>
        <w:widowControl w:val="0"/>
        <w:shd w:val="clear" w:color="auto" w:fill="FFFFFF"/>
        <w:tabs>
          <w:tab w:val="left" w:pos="566"/>
        </w:tabs>
        <w:jc w:val="both"/>
        <w:rPr>
          <w:sz w:val="22"/>
          <w:szCs w:val="22"/>
        </w:rPr>
      </w:pPr>
    </w:p>
    <w:p w14:paraId="14966D18" w14:textId="77777777" w:rsidR="00A0795A" w:rsidRDefault="00EA6958">
      <w:pPr>
        <w:tabs>
          <w:tab w:val="right" w:pos="9354"/>
        </w:tabs>
        <w:jc w:val="both"/>
        <w:rPr>
          <w:sz w:val="22"/>
          <w:szCs w:val="22"/>
          <w:lang w:val="en-US"/>
        </w:rPr>
      </w:pPr>
      <w:r>
        <w:rPr>
          <w:sz w:val="22"/>
          <w:szCs w:val="22"/>
        </w:rPr>
        <w:t>Судья</w:t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>[415]</w:t>
      </w:r>
    </w:p>
    <w:p w14:paraId="69E3EE1C" w14:textId="77777777" w:rsidR="00A0795A" w:rsidRDefault="00A0795A">
      <w:pPr>
        <w:rPr>
          <w:sz w:val="22"/>
          <w:szCs w:val="22"/>
        </w:rPr>
      </w:pPr>
    </w:p>
    <w:p w14:paraId="68329172" w14:textId="77777777" w:rsidR="00A0795A" w:rsidRDefault="00A0795A">
      <w:pPr>
        <w:rPr>
          <w:sz w:val="22"/>
          <w:szCs w:val="22"/>
        </w:rPr>
      </w:pPr>
    </w:p>
    <w:p w14:paraId="7702A41E" w14:textId="77777777" w:rsidR="00A0795A" w:rsidRDefault="00A0795A">
      <w:pPr>
        <w:rPr>
          <w:sz w:val="22"/>
          <w:szCs w:val="22"/>
        </w:rPr>
      </w:pPr>
    </w:p>
    <w:sectPr w:rsidR="00A0795A">
      <w:headerReference w:type="default" r:id="rId15"/>
      <w:headerReference w:type="first" r:id="rId16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ED0915" w14:textId="77777777" w:rsidR="0072023B" w:rsidRDefault="0072023B">
      <w:r>
        <w:separator/>
      </w:r>
    </w:p>
  </w:endnote>
  <w:endnote w:type="continuationSeparator" w:id="0">
    <w:p w14:paraId="6A3EF023" w14:textId="77777777" w:rsidR="0072023B" w:rsidRDefault="007202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323445" w14:textId="77777777" w:rsidR="0072023B" w:rsidRDefault="0072023B">
      <w:r>
        <w:separator/>
      </w:r>
    </w:p>
  </w:footnote>
  <w:footnote w:type="continuationSeparator" w:id="0">
    <w:p w14:paraId="4C03AB86" w14:textId="77777777" w:rsidR="0072023B" w:rsidRDefault="007202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</w:tblGrid>
    <w:tr w:rsidR="00A0795A" w14:paraId="5E685E45" w14:textId="77777777">
      <w:tc>
        <w:tcPr>
          <w:tcW w:w="4785" w:type="dxa"/>
        </w:tcPr>
        <w:p w14:paraId="009E928A" w14:textId="77777777" w:rsidR="00A0795A" w:rsidRDefault="00EA6958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</w:tr>
    <w:tr w:rsidR="00A0795A" w14:paraId="35B1A149" w14:textId="77777777">
      <w:tc>
        <w:tcPr>
          <w:tcW w:w="4785" w:type="dxa"/>
        </w:tcPr>
        <w:p w14:paraId="64F5685D" w14:textId="77777777" w:rsidR="00A0795A" w:rsidRDefault="00A0795A">
          <w:pPr>
            <w:pStyle w:val="ac"/>
            <w:rPr>
              <w:sz w:val="20"/>
              <w:szCs w:val="20"/>
            </w:rPr>
          </w:pPr>
        </w:p>
      </w:tc>
    </w:tr>
  </w:tbl>
  <w:p w14:paraId="7A853DC4" w14:textId="77777777" w:rsidR="00A0795A" w:rsidRDefault="00A0795A">
    <w:pPr>
      <w:pStyle w:val="ac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 w:rsidR="00A0795A" w14:paraId="5539262F" w14:textId="77777777">
      <w:trPr>
        <w:gridAfter w:val="1"/>
        <w:wAfter w:w="4677" w:type="dxa"/>
      </w:trPr>
      <w:tc>
        <w:tcPr>
          <w:tcW w:w="4785" w:type="dxa"/>
        </w:tcPr>
        <w:p w14:paraId="54978E41" w14:textId="77777777" w:rsidR="00A0795A" w:rsidRDefault="00A0795A">
          <w:pPr>
            <w:pStyle w:val="ac"/>
            <w:rPr>
              <w:sz w:val="20"/>
              <w:szCs w:val="20"/>
            </w:rPr>
          </w:pPr>
        </w:p>
      </w:tc>
    </w:tr>
    <w:tr w:rsidR="00A0795A" w14:paraId="527F5B32" w14:textId="77777777">
      <w:tc>
        <w:tcPr>
          <w:tcW w:w="4785" w:type="dxa"/>
        </w:tcPr>
        <w:p w14:paraId="0C7AB95C" w14:textId="77777777" w:rsidR="00A0795A" w:rsidRDefault="00A0795A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5B25C18E" w14:textId="77777777" w:rsidR="00A0795A" w:rsidRDefault="00A0795A">
          <w:pPr>
            <w:pStyle w:val="ac"/>
            <w:rPr>
              <w:sz w:val="20"/>
              <w:szCs w:val="20"/>
            </w:rPr>
          </w:pPr>
        </w:p>
      </w:tc>
    </w:tr>
  </w:tbl>
  <w:p w14:paraId="7ADA7B9B" w14:textId="77777777" w:rsidR="00A0795A" w:rsidRDefault="00A0795A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95A"/>
    <w:rsid w:val="000E5803"/>
    <w:rsid w:val="00372EAD"/>
    <w:rsid w:val="0072023B"/>
    <w:rsid w:val="009F66CE"/>
    <w:rsid w:val="00A0795A"/>
    <w:rsid w:val="00AF4B65"/>
    <w:rsid w:val="00C425DF"/>
    <w:rsid w:val="00E4645B"/>
    <w:rsid w:val="00EA6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191E1"/>
  <w15:docId w15:val="{CC0E16F4-EADF-45C6-BFBE-5D4D010C6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  <w:style w:type="paragraph" w:customStyle="1" w:styleId="pohead">
    <w:name w:val="po_head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755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ogin.consultant.ru/link/?req=doc&amp;amp;base=LAW&amp;amp;n=482731&amp;amp;dst=1988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hyperlink" Target="http://rostov.arbitr.ru/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mailto:info@rostov.arbitr.ru" TargetMode="External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10.png"/><Relationship Id="rId4" Type="http://schemas.openxmlformats.org/officeDocument/2006/relationships/footnotes" Target="footnotes.xml"/><Relationship Id="rId14" Type="http://schemas.openxmlformats.org/officeDocument/2006/relationships/hyperlink" Target="https://login.consultant.ru/link/?req=doc&amp;amp;base=LAW&amp;amp;n=482731&amp;amp;dst=199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696</Words>
  <Characters>3968</Characters>
  <Application>Microsoft Office Word</Application>
  <DocSecurity>0</DocSecurity>
  <Lines>33</Lines>
  <Paragraphs>9</Paragraphs>
  <ScaleCrop>false</ScaleCrop>
  <Company>АСРО</Company>
  <LinksUpToDate>false</LinksUpToDate>
  <CharactersWithSpaces>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7</cp:revision>
  <dcterms:created xsi:type="dcterms:W3CDTF">2026-10-14T18:19:00Z</dcterms:created>
  <dcterms:modified xsi:type="dcterms:W3CDTF">2026-10-15T22:39:00Z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2cbcb558-206d-489b-9c99-64248876785b</vt:lpwstr>
  </property>
  <property fmtid="{D5CDD505-2E9C-101B-9397-08002B2CF9AE}" pid="3" name="TimeStamp">
    <vt:lpwstr>7</vt:lpwstr>
  </property>
</Properties>
</file>