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4758A" w:rsidRPr="00B102E3" w:rsidRDefault="00C739AB">
      <w:pPr>
        <w:spacing w:line="240" w:lineRule="auto"/>
        <w:contextualSpacing/>
        <w:jc w:val="center"/>
        <w:rPr>
          <w:rFonts w:ascii="Times New Roman" w:hAnsi="Times New Roman" w:cs="Times New Roman"/>
        </w:rPr>
      </w:pPr>
      <w:r w:rsidRPr="00B102E3">
        <w:rPr>
          <w:rFonts w:ascii="Times New Roman" w:eastAsia="Times New Roman" w:hAnsi="Times New Roman" w:cs="Times New Roman"/>
        </w:rPr>
        <w:t>АРБИТРАЖНЫЙ СУД РОСТОВСКОЙ ОБЛАСТИ</w:t>
      </w:r>
    </w:p>
    <w:p w:rsidR="0014758A" w:rsidRPr="00B102E3" w:rsidRDefault="0014758A">
      <w:pPr>
        <w:spacing w:line="240" w:lineRule="auto"/>
        <w:contextualSpacing/>
        <w:jc w:val="center"/>
        <w:rPr>
          <w:rFonts w:ascii="Times New Roman" w:eastAsia="Times New Roman" w:hAnsi="Times New Roman" w:cs="Times New Roman"/>
        </w:rPr>
      </w:pPr>
    </w:p>
    <w:p w:rsidR="0014758A" w:rsidRPr="00B102E3" w:rsidRDefault="00C739AB">
      <w:pPr>
        <w:spacing w:line="240" w:lineRule="auto"/>
        <w:contextualSpacing/>
        <w:jc w:val="center"/>
        <w:rPr>
          <w:rFonts w:ascii="Times New Roman" w:eastAsia="Times New Roman" w:hAnsi="Times New Roman" w:cs="Times New Roman"/>
        </w:rPr>
      </w:pPr>
      <w:r w:rsidRPr="00B102E3">
        <w:rPr>
          <w:rFonts w:ascii="Times New Roman" w:eastAsia="Times New Roman" w:hAnsi="Times New Roman" w:cs="Times New Roman"/>
        </w:rPr>
        <w:t>Именем Российской Федерации</w:t>
      </w:r>
    </w:p>
    <w:p w:rsidR="0014758A" w:rsidRPr="00B102E3" w:rsidRDefault="00C739AB">
      <w:pPr>
        <w:spacing w:line="240" w:lineRule="auto"/>
        <w:contextualSpacing/>
        <w:jc w:val="center"/>
        <w:rPr>
          <w:rFonts w:ascii="Times New Roman" w:hAnsi="Times New Roman" w:cs="Times New Roman"/>
        </w:rPr>
      </w:pPr>
      <w:r w:rsidRPr="00B102E3">
        <w:rPr>
          <w:rFonts w:ascii="Times New Roman" w:hAnsi="Times New Roman" w:cs="Times New Roman"/>
        </w:rPr>
        <w:t>РЕШЕНИЕ</w:t>
      </w:r>
    </w:p>
    <w:p w:rsidR="0014758A" w:rsidRPr="00B102E3" w:rsidRDefault="0014758A">
      <w:pPr>
        <w:spacing w:line="240" w:lineRule="auto"/>
        <w:contextualSpacing/>
        <w:jc w:val="center"/>
        <w:rPr>
          <w:rFonts w:ascii="Times New Roman" w:hAnsi="Times New Roman" w:cs="Times New Roman"/>
        </w:rPr>
      </w:pPr>
    </w:p>
    <w:tbl>
      <w:tblPr>
        <w:tblStyle w:val="af"/>
        <w:tblW w:w="0" w:type="auto"/>
        <w:tblLook w:val="04A0" w:firstRow="1" w:lastRow="0" w:firstColumn="1" w:lastColumn="0" w:noHBand="0" w:noVBand="1"/>
      </w:tblPr>
      <w:tblGrid>
        <w:gridCol w:w="4677"/>
        <w:gridCol w:w="4677"/>
      </w:tblGrid>
      <w:tr w:rsidR="0014758A" w:rsidRPr="00B102E3">
        <w:tc>
          <w:tcPr>
            <w:tcW w:w="4677" w:type="dxa"/>
            <w:tcBorders>
              <w:top w:val="none" w:sz="4" w:space="0" w:color="000000"/>
              <w:left w:val="none" w:sz="4" w:space="0" w:color="000000"/>
              <w:bottom w:val="none" w:sz="4" w:space="0" w:color="000000"/>
              <w:right w:val="none" w:sz="4" w:space="0" w:color="000000"/>
            </w:tcBorders>
          </w:tcPr>
          <w:p w:rsidR="0014758A" w:rsidRPr="00B102E3" w:rsidRDefault="00C739AB">
            <w:pPr>
              <w:contextualSpacing/>
              <w:jc w:val="both"/>
              <w:rPr>
                <w:rFonts w:ascii="Times New Roman" w:hAnsi="Times New Roman" w:cs="Times New Roman"/>
              </w:rPr>
            </w:pPr>
            <w:r w:rsidRPr="00B102E3">
              <w:rPr>
                <w:rFonts w:ascii="Times New Roman" w:eastAsia="Times New Roman" w:hAnsi="Times New Roman" w:cs="Times New Roman"/>
              </w:rPr>
              <w:t>г. Ростов-на-Дону</w:t>
            </w:r>
          </w:p>
          <w:p w:rsidR="0014758A" w:rsidRPr="00B102E3" w:rsidRDefault="000413CD">
            <w:pPr>
              <w:contextualSpacing/>
              <w:rPr>
                <w:rFonts w:ascii="Times New Roman" w:eastAsia="Times New Roman" w:hAnsi="Times New Roman" w:cs="Times New Roman"/>
              </w:rPr>
            </w:pPr>
            <w:r w:rsidRPr="00B102E3">
              <w:rPr>
                <w:rFonts w:ascii="Times New Roman" w:eastAsia="Times New Roman" w:hAnsi="Times New Roman" w:cs="Times New Roman"/>
                <w:lang w:val="en-US"/>
              </w:rPr>
              <w:t>[66]</w:t>
            </w:r>
            <w:r w:rsidR="00C739AB" w:rsidRPr="00B102E3">
              <w:rPr>
                <w:rFonts w:ascii="Times New Roman" w:eastAsia="Times New Roman" w:hAnsi="Times New Roman" w:cs="Times New Roman"/>
              </w:rPr>
              <w:t xml:space="preserve">  </w:t>
            </w:r>
          </w:p>
        </w:tc>
        <w:tc>
          <w:tcPr>
            <w:tcW w:w="4677" w:type="dxa"/>
            <w:tcBorders>
              <w:top w:val="none" w:sz="4" w:space="0" w:color="000000"/>
              <w:left w:val="none" w:sz="4" w:space="0" w:color="000000"/>
              <w:bottom w:val="none" w:sz="4" w:space="0" w:color="000000"/>
              <w:right w:val="none" w:sz="4" w:space="0" w:color="000000"/>
            </w:tcBorders>
          </w:tcPr>
          <w:p w:rsidR="0014758A" w:rsidRPr="00B102E3" w:rsidRDefault="0014758A">
            <w:pPr>
              <w:contextualSpacing/>
              <w:jc w:val="center"/>
              <w:rPr>
                <w:rFonts w:ascii="Times New Roman" w:eastAsia="Times New Roman" w:hAnsi="Times New Roman" w:cs="Times New Roman"/>
              </w:rPr>
            </w:pPr>
          </w:p>
          <w:p w:rsidR="0014758A" w:rsidRPr="00B102E3" w:rsidRDefault="00C739AB" w:rsidP="000413CD">
            <w:pPr>
              <w:contextualSpacing/>
              <w:jc w:val="right"/>
              <w:rPr>
                <w:rFonts w:ascii="Times New Roman" w:eastAsia="Times New Roman" w:hAnsi="Times New Roman" w:cs="Times New Roman"/>
                <w:lang w:val="en-US"/>
              </w:rPr>
            </w:pPr>
            <w:r w:rsidRPr="00B102E3">
              <w:rPr>
                <w:rFonts w:ascii="Times New Roman" w:eastAsia="Times New Roman" w:hAnsi="Times New Roman" w:cs="Times New Roman"/>
              </w:rPr>
              <w:t xml:space="preserve">  Дело № </w:t>
            </w:r>
            <w:r w:rsidR="000413CD" w:rsidRPr="00B102E3">
              <w:rPr>
                <w:rFonts w:ascii="Times New Roman" w:eastAsia="Times New Roman" w:hAnsi="Times New Roman" w:cs="Times New Roman"/>
                <w:lang w:val="en-US"/>
              </w:rPr>
              <w:t>[1]</w:t>
            </w:r>
          </w:p>
        </w:tc>
      </w:tr>
    </w:tbl>
    <w:p w:rsidR="0014758A" w:rsidRPr="00B102E3" w:rsidRDefault="00C739AB">
      <w:pPr>
        <w:spacing w:line="240" w:lineRule="auto"/>
        <w:contextualSpacing/>
        <w:jc w:val="both"/>
        <w:rPr>
          <w:rFonts w:ascii="Times New Roman" w:hAnsi="Times New Roman" w:cs="Times New Roman"/>
        </w:rPr>
      </w:pPr>
      <w:r w:rsidRPr="00B102E3">
        <w:rPr>
          <w:rFonts w:ascii="Times New Roman" w:eastAsia="Times New Roman" w:hAnsi="Times New Roman" w:cs="Times New Roman"/>
        </w:rPr>
        <w:t xml:space="preserve">            </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 xml:space="preserve">Резолютивная часть решения объявлена «___» __________ 20__ года </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 xml:space="preserve">Полный текст решения изготовлен «___» __________ 20__ года </w:t>
      </w:r>
    </w:p>
    <w:p w:rsidR="0014758A" w:rsidRPr="00B102E3" w:rsidRDefault="0014758A">
      <w:pPr>
        <w:spacing w:line="240" w:lineRule="auto"/>
        <w:ind w:firstLine="720"/>
        <w:contextualSpacing/>
        <w:jc w:val="both"/>
        <w:rPr>
          <w:rFonts w:ascii="Times New Roman" w:eastAsia="Times New Roman" w:hAnsi="Times New Roman" w:cs="Times New Roman"/>
        </w:rPr>
      </w:pP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Судья Арбитражного суда Ростовской области </w:t>
      </w:r>
      <w:r w:rsidR="000413CD" w:rsidRPr="00B102E3">
        <w:rPr>
          <w:rFonts w:ascii="Times New Roman" w:eastAsia="Times New Roman" w:hAnsi="Times New Roman" w:cs="Times New Roman"/>
        </w:rPr>
        <w:t>[415]</w:t>
      </w:r>
      <w:r w:rsidRPr="00B102E3">
        <w:rPr>
          <w:rFonts w:ascii="Times New Roman" w:eastAsia="Times New Roman" w:hAnsi="Times New Roman" w:cs="Times New Roman"/>
        </w:rPr>
        <w:t>,</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hAnsi="Times New Roman" w:cs="Times New Roman"/>
        </w:rPr>
        <w:t>при ведении протокола судебного заседания помощником судьи [29] ,</w:t>
      </w:r>
    </w:p>
    <w:p w:rsidR="0014758A" w:rsidRPr="00B102E3" w:rsidRDefault="00C739AB">
      <w:pPr>
        <w:spacing w:line="240" w:lineRule="auto"/>
        <w:ind w:firstLine="709"/>
        <w:contextualSpacing/>
        <w:jc w:val="both"/>
        <w:rPr>
          <w:rFonts w:ascii="Times New Roman" w:hAnsi="Times New Roman" w:cs="Times New Roman"/>
        </w:rPr>
      </w:pPr>
      <w:r w:rsidRPr="00B102E3">
        <w:rPr>
          <w:rFonts w:ascii="Times New Roman" w:hAnsi="Times New Roman" w:cs="Times New Roman"/>
        </w:rPr>
        <w:t>рассмотрев в открытом судебном заседании материалы дела по иску «[989]» (ОГРН [990], ИНН [991])</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к обществу с ограниченной ответственностью «</w:t>
      </w:r>
      <w:r w:rsidR="00D61D0A" w:rsidRPr="00B102E3">
        <w:rPr>
          <w:rFonts w:ascii="Times New Roman" w:eastAsia="Times New Roman" w:hAnsi="Times New Roman" w:cs="Times New Roman"/>
        </w:rPr>
        <w:t>[2]</w:t>
      </w:r>
      <w:r w:rsidRPr="00B102E3">
        <w:rPr>
          <w:rFonts w:ascii="Times New Roman" w:eastAsia="Times New Roman" w:hAnsi="Times New Roman" w:cs="Times New Roman"/>
        </w:rPr>
        <w:t xml:space="preserve">» (ОГРН [3], </w:t>
      </w:r>
      <w:r w:rsidR="00D61D0A" w:rsidRPr="00B102E3">
        <w:rPr>
          <w:rFonts w:ascii="Times New Roman" w:eastAsia="Times New Roman" w:hAnsi="Times New Roman" w:cs="Times New Roman"/>
        </w:rPr>
        <w:t xml:space="preserve">ИНН </w:t>
      </w:r>
      <w:r w:rsidRPr="00B102E3">
        <w:rPr>
          <w:rFonts w:ascii="Times New Roman" w:eastAsia="Times New Roman" w:hAnsi="Times New Roman" w:cs="Times New Roman"/>
        </w:rPr>
        <w:t>[4])</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о взыскании,</w:t>
      </w:r>
    </w:p>
    <w:p w:rsidR="0014758A" w:rsidRPr="00B102E3" w:rsidRDefault="000E7200">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в отсутствии с</w:t>
      </w:r>
      <w:r w:rsidR="00C739AB" w:rsidRPr="00B102E3">
        <w:rPr>
          <w:rFonts w:ascii="Times New Roman" w:eastAsia="Times New Roman" w:hAnsi="Times New Roman" w:cs="Times New Roman"/>
        </w:rPr>
        <w:t>торон,</w:t>
      </w:r>
    </w:p>
    <w:p w:rsidR="0014758A" w:rsidRPr="00B102E3" w:rsidRDefault="0014758A">
      <w:pPr>
        <w:spacing w:line="240" w:lineRule="auto"/>
        <w:ind w:firstLine="720"/>
        <w:contextualSpacing/>
        <w:jc w:val="both"/>
        <w:rPr>
          <w:rFonts w:ascii="Times New Roman" w:eastAsia="Times New Roman" w:hAnsi="Times New Roman" w:cs="Times New Roman"/>
        </w:rPr>
      </w:pPr>
    </w:p>
    <w:p w:rsidR="0014758A" w:rsidRPr="00B102E3" w:rsidRDefault="00C739AB">
      <w:pPr>
        <w:ind w:firstLine="720"/>
        <w:contextualSpacing/>
        <w:jc w:val="both"/>
        <w:rPr>
          <w:rFonts w:ascii="Times New Roman" w:hAnsi="Times New Roman" w:cs="Times New Roman"/>
          <w:bCs/>
        </w:rPr>
      </w:pPr>
      <w:proofErr w:type="gramStart"/>
      <w:r w:rsidRPr="00B102E3">
        <w:rPr>
          <w:rFonts w:ascii="Times New Roman" w:hAnsi="Times New Roman" w:cs="Times New Roman"/>
        </w:rPr>
        <w:t>установил: «[989]» обратилось в суд с иском к обществу с ограниченной ответственностью «[2]» о взыскании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w:t>
      </w:r>
      <w:proofErr w:type="gramEnd"/>
      <w:r w:rsidRPr="00B102E3">
        <w:rPr>
          <w:rFonts w:ascii="Times New Roman" w:hAnsi="Times New Roman" w:cs="Times New Roman"/>
        </w:rPr>
        <w:t xml:space="preserve"> в размере [15] руб., комиссия Банка – [122] руб. и об обращении взыскания на заложенное имущество по договору залога  [0005] от [0006] принадлежащее [2.2]: [1221].</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Стороны явку представителей в предварительное судебное заседание не обеспечили.</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Ответчик отзыв на исковое заявление не представил, извещен надлежащим образом.</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Почтовая корреспонденция, направленная ответчику по адресу регистрации, подтвержденному выпиской из ЕГРЮЛ, возвращена в материалы дела без вручения за истечением срока хранения.</w:t>
      </w:r>
    </w:p>
    <w:p w:rsidR="0014758A" w:rsidRPr="00B102E3" w:rsidRDefault="00C739AB">
      <w:pPr>
        <w:spacing w:line="240" w:lineRule="auto"/>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Согласно части 1 статьи 121 Арбитражного процессуального кодекса Российской Федерации лица, участвующие в деле, и иные участники арбитражного процесса извещаются арбитражным судом о принятии искового заявления или заявления к производству и возбуждении производства по делу, о времени и месте судебного заседания или совершения отдельного процессуального действия путем направления копии судебного акта.</w:t>
      </w:r>
      <w:proofErr w:type="gramEnd"/>
    </w:p>
    <w:p w:rsidR="0014758A" w:rsidRPr="00B102E3" w:rsidRDefault="00C739AB">
      <w:pPr>
        <w:ind w:firstLine="709"/>
        <w:contextualSpacing/>
        <w:jc w:val="both"/>
        <w:rPr>
          <w:rFonts w:ascii="Times New Roman" w:hAnsi="Times New Roman" w:cs="Times New Roman"/>
        </w:rPr>
      </w:pPr>
      <w:proofErr w:type="gramStart"/>
      <w:r w:rsidRPr="00B102E3">
        <w:rPr>
          <w:rFonts w:ascii="Times New Roman" w:eastAsia="Times New Roman" w:hAnsi="Times New Roman" w:cs="Times New Roman"/>
        </w:rPr>
        <w:t>Информация о принятии искового заявления или заявления к производству, о времени и месте судебного заседания или совершения отдельного процессуального действия размещается арбитражным судом на официальном сайте арбитражного суда в информационно-телекоммуникационной сети «Интернет» не позднее, чем за пятнадцать дней до начала судебного заседания или совершения отдельного процессуального действия, если иное не предусмотрено настоящим Кодексом.</w:t>
      </w:r>
      <w:proofErr w:type="gramEnd"/>
      <w:r w:rsidRPr="00B102E3">
        <w:rPr>
          <w:rFonts w:ascii="Times New Roman" w:eastAsia="Times New Roman" w:hAnsi="Times New Roman" w:cs="Times New Roman"/>
        </w:rPr>
        <w:t xml:space="preserve"> Документы, подтверждающие размещение арбитражным судом на официальном сайте арбитражного суда в информационно-телекоммуникационной сети «Интернет» указанных сведений, включая дату их размещения, приобщаются к материалам дела. </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 xml:space="preserve">В силу статьи 123 Арбитражного процессуального кодекса Российской Федерации лица, участвующие в деле, и иные участники арбитражного процесса считаются извещенными надлежащим образом, если к началу судебного заседания, проведения отдельного процессуального действия арбитражный суд располагает сведениями о получении адресатом направленной ему копии судебного акта. </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 xml:space="preserve">Лица, участвующие в деле, и иные участники арбитражного процесса также считаются извещенными надлежащим образом арбитражным судом, если: </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 xml:space="preserve">1) адресат отказался от получения копии судебного акта и этот отказ зафиксирован; </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lastRenderedPageBreak/>
        <w:t xml:space="preserve">2)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 связи проинформировал арбитражный суд; </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 xml:space="preserve">3) копия судебного акта, направленная арбитражным судом по последнему известному суду месту нахождения организации, месту жительства гражданина, не вручена в связи с отсутствием адресата по указанному адресу, о чем орган связи проинформировал арбитражный суд. </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 xml:space="preserve">Судом установлено, что определения суда о принятии иска к производству, назначении дела к судебному разбирательству, об отложении судебного разбирательства направлялись ответчику по всем известным суду адресам, в том числе, адресу регистрации, и возвращено в суд отделением связи без вручения в связи с отсутствием адресата. </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 xml:space="preserve">Особенности доставки (вручения), хранения почтовых отправлений разряда «судебное» установлены приказом </w:t>
      </w:r>
      <w:proofErr w:type="spellStart"/>
      <w:r w:rsidRPr="00B102E3">
        <w:rPr>
          <w:rFonts w:ascii="Times New Roman" w:eastAsia="Times New Roman" w:hAnsi="Times New Roman" w:cs="Times New Roman"/>
        </w:rPr>
        <w:t>Минкомсвязи</w:t>
      </w:r>
      <w:proofErr w:type="spellEnd"/>
      <w:r w:rsidRPr="00B102E3">
        <w:rPr>
          <w:rFonts w:ascii="Times New Roman" w:eastAsia="Times New Roman" w:hAnsi="Times New Roman" w:cs="Times New Roman"/>
        </w:rPr>
        <w:t xml:space="preserve"> России от 31.07.2014 № 234 «Об утверждении Правил оказания услуг почтовой связи» (далее - Правила № 234). </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 xml:space="preserve">Порядок приема и вручения внутренних регистрируемых почтовых отправлений утвержден приказом </w:t>
      </w:r>
      <w:proofErr w:type="spellStart"/>
      <w:r w:rsidRPr="00B102E3">
        <w:rPr>
          <w:rFonts w:ascii="Times New Roman" w:eastAsia="Times New Roman" w:hAnsi="Times New Roman" w:cs="Times New Roman"/>
        </w:rPr>
        <w:t>Приказом</w:t>
      </w:r>
      <w:proofErr w:type="spellEnd"/>
      <w:r w:rsidRPr="00B102E3">
        <w:rPr>
          <w:rFonts w:ascii="Times New Roman" w:eastAsia="Times New Roman" w:hAnsi="Times New Roman" w:cs="Times New Roman"/>
        </w:rPr>
        <w:t xml:space="preserve"> АО «Почта России» от 20.12.2024 № 464-п «Об утверждении Порядка приема и вручения внутренних регистрируемых почтовых отправлений».</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Почтовые отправления разряда «судебное» при невозможности их вручения адресатам (их уполномоченным представителям) хранятся в объектах почтовой связи места назначения в течение 7 дней.</w:t>
      </w:r>
    </w:p>
    <w:p w:rsidR="0014758A" w:rsidRPr="00B102E3" w:rsidRDefault="00C739AB">
      <w:pPr>
        <w:ind w:firstLine="709"/>
        <w:contextualSpacing/>
        <w:jc w:val="both"/>
        <w:rPr>
          <w:rFonts w:ascii="Times New Roman" w:hAnsi="Times New Roman" w:cs="Times New Roman"/>
        </w:rPr>
      </w:pPr>
      <w:r w:rsidRPr="00B102E3">
        <w:rPr>
          <w:rFonts w:ascii="Times New Roman" w:eastAsia="Times New Roman" w:hAnsi="Times New Roman" w:cs="Times New Roman"/>
        </w:rPr>
        <w:t xml:space="preserve">По истечении установленного срока хранения почтовые отправления возвращаются по обратному адресу, указанному на почтовом отправлении (если иное не предусмотрено договором с пользователем услугами почтовой связи). </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На каждое возвращаемое по обратному адресу почтовое отправление разряда «Судебное» почтовый работник оформляет ярлык ф. 20, при этом почтовый работник должен в правой части ярлыка сделать отметку «X» («V») в окне напротив соответствующей причины возврата (заявление отправителя; отказ адресата от получения;</w:t>
      </w:r>
      <w:r w:rsidR="00AA69BE" w:rsidRPr="00B102E3">
        <w:rPr>
          <w:rFonts w:ascii="Times New Roman" w:eastAsia="Times New Roman" w:hAnsi="Times New Roman" w:cs="Times New Roman"/>
        </w:rPr>
        <w:t xml:space="preserve"> </w:t>
      </w:r>
      <w:r w:rsidRPr="00B102E3">
        <w:rPr>
          <w:rFonts w:ascii="Times New Roman" w:eastAsia="Times New Roman" w:hAnsi="Times New Roman" w:cs="Times New Roman"/>
        </w:rPr>
        <w:t>отсутствие адресата по указанному адресу; невозможно прочесть адрес адресата; истек срок хранения; иные причины с указанием конкретной причины).</w:t>
      </w:r>
    </w:p>
    <w:p w:rsidR="0014758A" w:rsidRPr="00B102E3" w:rsidRDefault="00C739AB">
      <w:pPr>
        <w:ind w:firstLine="720"/>
        <w:contextualSpacing/>
        <w:jc w:val="both"/>
        <w:rPr>
          <w:rFonts w:ascii="Times New Roman" w:hAnsi="Times New Roman" w:cs="Times New Roman"/>
        </w:rPr>
      </w:pPr>
      <w:r w:rsidRPr="00B102E3">
        <w:rPr>
          <w:rFonts w:ascii="Times New Roman" w:eastAsia="Times New Roman" w:hAnsi="Times New Roman" w:cs="Times New Roman"/>
        </w:rPr>
        <w:t>В рассматриваемом случае соответствующие отметки на имеющихся в деле конвертах заказных писем, адресованных ответчику, имеются, вместе с тем срок хранения почтовых отправлений был соблюден.</w:t>
      </w:r>
    </w:p>
    <w:p w:rsidR="0014758A" w:rsidRPr="00B102E3" w:rsidRDefault="00C739AB">
      <w:pPr>
        <w:ind w:firstLine="720"/>
        <w:contextualSpacing/>
        <w:jc w:val="both"/>
        <w:rPr>
          <w:rFonts w:ascii="Times New Roman" w:hAnsi="Times New Roman" w:cs="Times New Roman"/>
        </w:rPr>
      </w:pPr>
      <w:r w:rsidRPr="00B102E3">
        <w:rPr>
          <w:rFonts w:ascii="Times New Roman" w:eastAsia="Times New Roman" w:hAnsi="Times New Roman" w:cs="Times New Roman"/>
        </w:rPr>
        <w:t>Лица, участвующие в деле, должны добросовестно пользоваться всеми принадлежащими им процессуальными правами (часть 2 статьи 41 Арбитражного процессуального кодекса Российской Федерации).</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При этом</w:t>
      </w:r>
      <w:proofErr w:type="gramStart"/>
      <w:r w:rsidRPr="00B102E3">
        <w:rPr>
          <w:rFonts w:ascii="Times New Roman" w:eastAsia="Times New Roman" w:hAnsi="Times New Roman" w:cs="Times New Roman"/>
        </w:rPr>
        <w:t>,</w:t>
      </w:r>
      <w:proofErr w:type="gramEnd"/>
      <w:r w:rsidRPr="00B102E3">
        <w:rPr>
          <w:rFonts w:ascii="Times New Roman" w:eastAsia="Times New Roman" w:hAnsi="Times New Roman" w:cs="Times New Roman"/>
        </w:rPr>
        <w:t xml:space="preserve"> согласно части 2 статьи 9 Арбитражного процессуального кодекса Российской Федерации, лица, участвующие в деле, несут риск наступления последствий совершения или не совершения ими процессуальных действий. </w:t>
      </w:r>
    </w:p>
    <w:p w:rsidR="0014758A" w:rsidRPr="00B102E3" w:rsidRDefault="00C739AB">
      <w:pPr>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Действуя разумно и добросовестно, ответчик должен был организовать прием почтовой корреспонденции по месту своего нахождения, или принять меры к информированию почтового отделения связи по месту нахождения о необходимости пересылки почтовой корреспонденции по фактическому адресу своего местонахождения (пункт 46 Правил оказания услуг почтовой связи, утвержденных Постановлением Правительства Российской Федерации от 15.04.2005 № 221).</w:t>
      </w:r>
      <w:proofErr w:type="gramEnd"/>
    </w:p>
    <w:p w:rsidR="0014758A" w:rsidRPr="00B102E3" w:rsidRDefault="00C739AB">
      <w:pPr>
        <w:ind w:firstLine="720"/>
        <w:contextualSpacing/>
        <w:jc w:val="both"/>
        <w:rPr>
          <w:rFonts w:ascii="Times New Roman" w:hAnsi="Times New Roman" w:cs="Times New Roman"/>
        </w:rPr>
      </w:pPr>
      <w:proofErr w:type="gramStart"/>
      <w:r w:rsidRPr="00B102E3">
        <w:rPr>
          <w:rFonts w:ascii="Times New Roman" w:eastAsia="Times New Roman" w:hAnsi="Times New Roman" w:cs="Times New Roman"/>
        </w:rPr>
        <w:t>В соответствии с пунктом 2 части 4 статьи 123 Арбитражного процессуального кодекса Российской Федерации, лица, участвующие в деле, и иные участники процесса также считаются извещенными надлежащим образом арбитражным судом, если, несмотря на почтовое извещение, адресат не явился за получением копии судебного акта, направленной арбитражным судом в установленном порядке, о чем организация почтовой связи уведомила арбитражный суд.</w:t>
      </w:r>
      <w:proofErr w:type="gramEnd"/>
    </w:p>
    <w:p w:rsidR="0014758A" w:rsidRPr="00B102E3" w:rsidRDefault="00C739AB">
      <w:pPr>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 xml:space="preserve">Таким образом, ответчик, извещенный надлежащим образом о времени и месте судебного заседания в порядке статьи 123 Арбитражного процессуального кодекса Российской Федерации, в </w:t>
      </w:r>
      <w:r w:rsidRPr="00B102E3">
        <w:rPr>
          <w:rFonts w:ascii="Times New Roman" w:eastAsia="Times New Roman" w:hAnsi="Times New Roman" w:cs="Times New Roman"/>
        </w:rPr>
        <w:lastRenderedPageBreak/>
        <w:t xml:space="preserve">том числе публично, путем размещения соответствующей информации на официальном сайте арбитражного суда, явку представителя не обеспечил, мотивированный отзыв на исковое заявление не направил, возражений относительно рассмотрения дела в отсутствие его представителей не заявил. </w:t>
      </w:r>
      <w:proofErr w:type="gramEnd"/>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Суд считает возможным рассмотреть дело в отсутствие лиц, участвующих в деле, их представителей в порядке статьи 156 Арбитражного процессуального кодекса Российской Федерации, с учетом правил статьи 9 Арбитражного процессуального кодекса Российской Федерации о том, что лица, участвующие в деле, несут риск наступления последствий совершения или не совершения ими процессуальных действий.</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Суд, исследовав материалы дела, изучив все представленные документальные доказательства и оценив их в совокупности, установил следующие фактические обстоятельства.</w:t>
      </w:r>
    </w:p>
    <w:p w:rsidR="0014758A" w:rsidRPr="00B102E3" w:rsidRDefault="00C739AB">
      <w:pPr>
        <w:spacing w:line="240" w:lineRule="auto"/>
        <w:ind w:firstLine="720"/>
        <w:contextualSpacing/>
        <w:jc w:val="both"/>
        <w:rPr>
          <w:rFonts w:ascii="Times New Roman" w:eastAsia="Times New Roman" w:hAnsi="Times New Roman" w:cs="Times New Roman"/>
        </w:rPr>
      </w:pPr>
      <w:proofErr w:type="gramStart"/>
      <w:r w:rsidRPr="00B102E3">
        <w:rPr>
          <w:rFonts w:ascii="Times New Roman" w:hAnsi="Times New Roman" w:cs="Times New Roman"/>
        </w:rPr>
        <w:t>«[989]» (далее – Банк, Истец) на основании кредитных договоров № [110] от [100], № [111] от [101], № [112] от [102], № [113] от [103], № [114] от [104], № [115] от [105] (далее - Кредитный договор) выдало кредит  «[2.2]» (далее – Ответчик, Заемщик) в сумме [1000] руб. на срок [1001] мес. под [1002] % годовых.</w:t>
      </w:r>
      <w:proofErr w:type="gramEnd"/>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Кредитный договор подписан в электронном виде простой электронной подписью, со стороны заемщика посредством использования систем «Сбербанк Онлайн» и «Мобильный банк». Возможность заключения договора через удаленные каналы обслуживания (далее – УКО) предусмотрена условиями договора банковского обслуживания (далее - ДБО).</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Банком совершено зачисление кредита на счет Ответчика, что подтверждается выпиской из лицевого счета.</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hAnsi="Times New Roman" w:cs="Times New Roman"/>
        </w:rPr>
        <w:t xml:space="preserve">Договором предусмотрено возвращение кредита внесением ежемесячных аннуитетных платежей. Процентная ставка за пользование кредитом составляет [1002]% </w:t>
      </w:r>
      <w:proofErr w:type="gramStart"/>
      <w:r w:rsidRPr="00B102E3">
        <w:rPr>
          <w:rFonts w:ascii="Times New Roman" w:hAnsi="Times New Roman" w:cs="Times New Roman"/>
        </w:rPr>
        <w:t>годовых</w:t>
      </w:r>
      <w:proofErr w:type="gramEnd"/>
      <w:r w:rsidRPr="00B102E3">
        <w:rPr>
          <w:rFonts w:ascii="Times New Roman" w:hAnsi="Times New Roman" w:cs="Times New Roman"/>
        </w:rPr>
        <w:t>, которая начисляется и взимается в соответствии с Общими условиями кредитования.</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Условиями Кредитного Договора предусмотрено, что при несвоевременном перечислении платежа в погашение кредита, уплаты процентов, </w:t>
      </w:r>
      <w:proofErr w:type="gramStart"/>
      <w:r w:rsidRPr="00B102E3">
        <w:rPr>
          <w:rFonts w:ascii="Times New Roman" w:eastAsia="Times New Roman" w:hAnsi="Times New Roman" w:cs="Times New Roman"/>
        </w:rPr>
        <w:t>иных платежей, предусмотренных Общими условиями кредитования Заемщик уплачивает</w:t>
      </w:r>
      <w:proofErr w:type="gramEnd"/>
      <w:r w:rsidRPr="00B102E3">
        <w:rPr>
          <w:rFonts w:ascii="Times New Roman" w:eastAsia="Times New Roman" w:hAnsi="Times New Roman" w:cs="Times New Roman"/>
        </w:rPr>
        <w:t xml:space="preserve"> кредитору неустойку в размере 0,1% от суммы просроченного платежа за каждый день просрочки платежа.</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В случае несвоевременного погашения задолженности (просрочки) отсчет срока для начисления процентов за пользование кредитом начинается со следующего дня после даты образования просроченной задолженности и заканчивается датой погашения просроченной задолженности (включительно).</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Согласно условиям Кредитного договора обязательства заемщика, считаются надлежаще и полностью выполненными после возврата кредитору всей суммы кредита, уплаты процентов за пользование кредитом, неустойки в соответствии с условиями Кредитного договора, определяемых на дату погашения кредита, и возмещения расходов, связанных с взысканием задолженности.</w:t>
      </w:r>
    </w:p>
    <w:p w:rsidR="0014758A" w:rsidRPr="00B102E3" w:rsidRDefault="00C739AB">
      <w:pPr>
        <w:ind w:firstLine="720"/>
        <w:contextualSpacing/>
        <w:jc w:val="both"/>
        <w:rPr>
          <w:rFonts w:ascii="Times New Roman" w:hAnsi="Times New Roman" w:cs="Times New Roman"/>
        </w:rPr>
      </w:pPr>
      <w:r w:rsidRPr="00B102E3">
        <w:rPr>
          <w:rFonts w:ascii="Times New Roman" w:eastAsia="Times New Roman" w:hAnsi="Times New Roman" w:cs="Times New Roman"/>
        </w:rPr>
        <w:t>Поскольку Ответчик обязательства по своевременному погашению кредита и процентов по нему исполнял ненадлежащим образом, по состоянию на [1004] (включительно) образовалась просроченная задолженность в размере [12] руб., в том числе: просроченный основной долг – [13] руб., просроченные проценты – [14] руб., неустойка – [15], комиссия Банка – [122] руб</w:t>
      </w:r>
      <w:r w:rsidRPr="00B102E3">
        <w:rPr>
          <w:rFonts w:ascii="Times New Roman" w:eastAsia="Times New Roman" w:hAnsi="Times New Roman" w:cs="Times New Roman"/>
          <w:color w:val="000000"/>
        </w:rPr>
        <w:t>.</w:t>
      </w:r>
    </w:p>
    <w:p w:rsidR="0014758A" w:rsidRPr="00B102E3" w:rsidRDefault="00C739AB">
      <w:pPr>
        <w:spacing w:line="240" w:lineRule="auto"/>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 xml:space="preserve">Ответчик неоднократно нарушал сроки погашения основного долга и процентов за пользование кредитом, что подтверждается представленными расчетом задолженности. </w:t>
      </w:r>
      <w:proofErr w:type="gramEnd"/>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Истцом в адрес Ответчика были направлены письма с требованием досрочно </w:t>
      </w:r>
      <w:proofErr w:type="gramStart"/>
      <w:r w:rsidRPr="00B102E3">
        <w:rPr>
          <w:rFonts w:ascii="Times New Roman" w:eastAsia="Times New Roman" w:hAnsi="Times New Roman" w:cs="Times New Roman"/>
        </w:rPr>
        <w:t>возвратить</w:t>
      </w:r>
      <w:proofErr w:type="gramEnd"/>
      <w:r w:rsidRPr="00B102E3">
        <w:rPr>
          <w:rFonts w:ascii="Times New Roman" w:eastAsia="Times New Roman" w:hAnsi="Times New Roman" w:cs="Times New Roman"/>
        </w:rPr>
        <w:t xml:space="preserve"> банку всю сумму кредита посредством </w:t>
      </w:r>
      <w:proofErr w:type="spellStart"/>
      <w:r w:rsidRPr="00B102E3">
        <w:rPr>
          <w:rFonts w:ascii="Times New Roman" w:eastAsia="Times New Roman" w:hAnsi="Times New Roman" w:cs="Times New Roman"/>
        </w:rPr>
        <w:t>партионной</w:t>
      </w:r>
      <w:proofErr w:type="spellEnd"/>
      <w:r w:rsidRPr="00B102E3">
        <w:rPr>
          <w:rFonts w:ascii="Times New Roman" w:eastAsia="Times New Roman" w:hAnsi="Times New Roman" w:cs="Times New Roman"/>
        </w:rPr>
        <w:t xml:space="preserve"> почты, что подтверждается присвоенным идентификатором (ШПИ), согласно которому данное требование доставлено в адрес заемщика. Данная информация доступна на официальном сайте сети интернет ФГУП Почта России (https://pochta.ru). Данное требование оставлено без ответа и финансового удовлетворения.</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hAnsi="Times New Roman" w:cs="Times New Roman"/>
        </w:rPr>
        <w:t>Указанные обстоятельства послужили основанием для обращения «[989]» в суд с иском.</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Рассмотрев материалы дела, оценив относимость, допустимость и достоверность каждого доказательства в отдельности, а также взаимную связь доказательств в их совокупности, суд пришел к следующим выводам.</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Изучив материалы дела, обозрев письменные доказательства, суд пришел к выводу о том, что исковые требования подлежат удовлетворению по следующим основаниям. </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lastRenderedPageBreak/>
        <w:t>К отношениям по кредитному договору применяются правила, предусмотренные параграфом 1 главы 42 Гражданского кодекса Российской Федерации, регулирующие договор займа, если иное не предусмотрено правилами параграфа 2 главы 42 Гражданского кодекса Российской Федерации и не вытекает из существа кредитного договора.</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Согласно пункту 1 статьи 809 и пункту 1 статьи 810 Гражданского кодекса Российской Федерации заемщик обязан возвратить заимодавцу полученную сумму займа в срок и порядке, которые предусмотрены договором займа, и уплатить проценты на нее, в размерах и в порядке, определенных договором.</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В соответствии с пунктом 1 статьи 819 Гражданского кодекса Российской Федерации по кредитному договору банк или иная кредитная организация (кредитор) обязуются предоставить денежные средства (кредит) заемщику в размере и на условиях, предусмотренных договором, а заемщик обязуется возвратить полученную денежную сумму и уплатить проценты на нее.</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Статья 309 Гражданского кодекса Российской Федерации предусматривает, что обязательства должны исполняться надлежащим образом в соответствии с условиями обязательства и требованиями закона, иных правовых актов, а при отсутствии таких условий и требований - в соответствии с обычаями или иными обычно предъявляемыми требованиями.</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Согласно статье 310 Гражданского кодекса Российской Федерации односторонний отказ от исполнения обязательства и одностороннее изменение его условий не допускаются, за исключением случаев, предусмотренных законом. Односторонний отказ от исполнения обязательства, связанного с осуществлением его сторонами предпринимательской деятельности, и одностороннее изменение условий такого обязательства допускаются также в случаях, предусмотренных договором, если иное не вытекает из закона или существа обязательства.</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hAnsi="Times New Roman" w:cs="Times New Roman"/>
        </w:rPr>
        <w:t xml:space="preserve">Факт перечисления денежных средств во исполнение кредитных договоров № [110] от [100], № [111] от [101], № [112] от [102], № [113] от [103], № [114] от [104], № [115] </w:t>
      </w:r>
      <w:proofErr w:type="gramStart"/>
      <w:r w:rsidRPr="00B102E3">
        <w:rPr>
          <w:rFonts w:ascii="Times New Roman" w:hAnsi="Times New Roman" w:cs="Times New Roman"/>
        </w:rPr>
        <w:t>от</w:t>
      </w:r>
      <w:proofErr w:type="gramEnd"/>
      <w:r w:rsidRPr="00B102E3">
        <w:rPr>
          <w:rFonts w:ascii="Times New Roman" w:hAnsi="Times New Roman" w:cs="Times New Roman"/>
        </w:rPr>
        <w:t xml:space="preserve"> [105] подтверждается </w:t>
      </w:r>
      <w:proofErr w:type="gramStart"/>
      <w:r w:rsidRPr="00B102E3">
        <w:rPr>
          <w:rFonts w:ascii="Times New Roman" w:hAnsi="Times New Roman" w:cs="Times New Roman"/>
        </w:rPr>
        <w:t>выпиской</w:t>
      </w:r>
      <w:proofErr w:type="gramEnd"/>
      <w:r w:rsidRPr="00B102E3">
        <w:rPr>
          <w:rFonts w:ascii="Times New Roman" w:hAnsi="Times New Roman" w:cs="Times New Roman"/>
        </w:rPr>
        <w:t xml:space="preserve"> по счету  Ответчика.</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 xml:space="preserve">В соответствии с пунктом 1 статьи 160 Гражданского кодекса Российской Федерации сделка в письменной форме должна быть совершена путем составления документа, выражающего ее содержание и подписанного лицом или лицами, совершающими сделку, или должным образом уполномоченными ими лицами. </w:t>
      </w:r>
      <w:proofErr w:type="gramStart"/>
      <w:r w:rsidRPr="00B102E3">
        <w:rPr>
          <w:rFonts w:ascii="Times New Roman" w:eastAsia="Times New Roman" w:hAnsi="Times New Roman" w:cs="Times New Roman"/>
        </w:rPr>
        <w:t>Согласно пункту 2 статьи 434 Гражданского кодекса Российской Федерации договор в письменной форме может быть заключен путем составления одного документа (в том числе электронного), подписанного сторонами, а также путем обмена письмами, телеграммами, электронными документами либо иными данными в соответствии с правилами абзаца второго пункта 1 статьи 160 Гражданского кодекса Российской Федерации.</w:t>
      </w:r>
      <w:proofErr w:type="gramEnd"/>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 xml:space="preserve">В рассматриваемом случае договор заключен в форме единого письменного документа. </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В соответствии с частями 1, 2 статьи 809 Гражданского кодекса Российской Федерации, если иное не предусмотрено законом или договором займа, займодавец имеет право на получение с заемщика процентов за пользование займом в размерах и в порядке, определенных договором. При отсутствии в договоре условия о размере процентов за пользование займом их размер определяется ключевой ставкой Банка России, действовавшей в соответствующие периоды.</w:t>
      </w:r>
    </w:p>
    <w:p w:rsidR="0014758A" w:rsidRPr="00B102E3" w:rsidRDefault="00C739AB">
      <w:pPr>
        <w:spacing w:line="240" w:lineRule="auto"/>
        <w:ind w:firstLine="720"/>
        <w:contextualSpacing/>
        <w:jc w:val="both"/>
        <w:rPr>
          <w:rFonts w:ascii="Times New Roman" w:hAnsi="Times New Roman" w:cs="Times New Roman"/>
        </w:rPr>
      </w:pPr>
      <w:proofErr w:type="gramStart"/>
      <w:r w:rsidRPr="00B102E3">
        <w:rPr>
          <w:rFonts w:ascii="Times New Roman" w:eastAsia="Times New Roman" w:hAnsi="Times New Roman" w:cs="Times New Roman"/>
        </w:rPr>
        <w:t>Размер процентов за пользование займом может быть установлен в договоре с применением ставки в процентах годовых в виде фиксированной величины, с применением ставки в процентах годовых, величина которой может изменяться в зависимости от предусмотренных договором условий, в том числе в зависимости от изменения переменной величины, либо иным путем, позволяющим определить надлежащий размер процентов на момент их уплаты.</w:t>
      </w:r>
      <w:proofErr w:type="gramEnd"/>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 xml:space="preserve">Согласно условиям договора Банк выдал кредит ответчику в сумме [1000]  руб. на срок [1001]  мес. под [1002]% </w:t>
      </w:r>
      <w:proofErr w:type="gramStart"/>
      <w:r w:rsidRPr="00B102E3">
        <w:rPr>
          <w:rFonts w:ascii="Times New Roman" w:eastAsia="Times New Roman" w:hAnsi="Times New Roman" w:cs="Times New Roman"/>
        </w:rPr>
        <w:t>годовых</w:t>
      </w:r>
      <w:proofErr w:type="gramEnd"/>
      <w:r w:rsidRPr="00B102E3">
        <w:rPr>
          <w:rFonts w:ascii="Times New Roman" w:eastAsia="Times New Roman" w:hAnsi="Times New Roman" w:cs="Times New Roman"/>
        </w:rPr>
        <w:t xml:space="preserve">. </w:t>
      </w:r>
    </w:p>
    <w:p w:rsidR="0014758A" w:rsidRPr="00B102E3" w:rsidRDefault="00C739AB">
      <w:pPr>
        <w:spacing w:line="240" w:lineRule="auto"/>
        <w:ind w:firstLine="720"/>
        <w:contextualSpacing/>
        <w:jc w:val="both"/>
        <w:rPr>
          <w:rFonts w:ascii="Times New Roman" w:hAnsi="Times New Roman" w:cs="Times New Roman"/>
        </w:rPr>
      </w:pPr>
      <w:r w:rsidRPr="00B102E3">
        <w:rPr>
          <w:rFonts w:ascii="Times New Roman" w:eastAsia="Times New Roman" w:hAnsi="Times New Roman" w:cs="Times New Roman"/>
        </w:rPr>
        <w:t xml:space="preserve">Согласно п. 1.1. Заявления о присоединении к Общим условиям кредитования по продукту «Кредитная </w:t>
      </w:r>
      <w:proofErr w:type="spellStart"/>
      <w:r w:rsidRPr="00B102E3">
        <w:rPr>
          <w:rFonts w:ascii="Times New Roman" w:eastAsia="Times New Roman" w:hAnsi="Times New Roman" w:cs="Times New Roman"/>
        </w:rPr>
        <w:t>СберБизнес</w:t>
      </w:r>
      <w:proofErr w:type="spellEnd"/>
      <w:r w:rsidRPr="00B102E3">
        <w:rPr>
          <w:rFonts w:ascii="Times New Roman" w:eastAsia="Times New Roman" w:hAnsi="Times New Roman" w:cs="Times New Roman"/>
        </w:rPr>
        <w:t xml:space="preserve"> Карта» (далее – Заявление) для проведения операций с использованием Кредитной </w:t>
      </w:r>
      <w:proofErr w:type="spellStart"/>
      <w:r w:rsidRPr="00B102E3">
        <w:rPr>
          <w:rFonts w:ascii="Times New Roman" w:eastAsia="Times New Roman" w:hAnsi="Times New Roman" w:cs="Times New Roman"/>
        </w:rPr>
        <w:t>СберБизнес</w:t>
      </w:r>
      <w:proofErr w:type="spellEnd"/>
      <w:r w:rsidRPr="00B102E3">
        <w:rPr>
          <w:rFonts w:ascii="Times New Roman" w:eastAsia="Times New Roman" w:hAnsi="Times New Roman" w:cs="Times New Roman"/>
        </w:rPr>
        <w:t xml:space="preserve"> Карты Банк предоставляет ЗАЕМЩИКУ возобновляемый лимит кредитной линии (Лимит кредитования) в валюте Российской Федерации в размере, указанном в Приложении 1 к Заявлению.</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Согласно условиям Договора на сумму имеющейся ссудной задолженности начисляются проценты за пользование  </w:t>
      </w:r>
      <w:proofErr w:type="spellStart"/>
      <w:proofErr w:type="gramStart"/>
      <w:r w:rsidRPr="00B102E3">
        <w:rPr>
          <w:rFonts w:ascii="Times New Roman" w:eastAsia="Times New Roman" w:hAnsi="Times New Roman" w:cs="Times New Roman"/>
        </w:rPr>
        <w:t>пользование</w:t>
      </w:r>
      <w:proofErr w:type="spellEnd"/>
      <w:proofErr w:type="gramEnd"/>
      <w:r w:rsidRPr="00B102E3">
        <w:rPr>
          <w:rFonts w:ascii="Times New Roman" w:eastAsia="Times New Roman" w:hAnsi="Times New Roman" w:cs="Times New Roman"/>
        </w:rPr>
        <w:t xml:space="preserve"> кредитом в соответствии с положениями, определенными в Условиях кредитования.</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Банк вправе в одностороннем порядке изменять или прекращать условия предоставления Льготного периода кредитования, с предварительным уведомлением ЗАЕМЩИКА в срок и на условиях, определенных Условиями кредитования. </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lastRenderedPageBreak/>
        <w:t>Сроки и порядок оплаты процентов, установленных плат по кредиту, порядок начислений неустоек определяется Кредитным договором</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В соответствии со статьей 821.1 Гражданского кодекса Российской Федерации кредитор вправе требовать досрочного возврата кредита в случаях, предусмотренных настоящим Кодексом, другими законами, а при предоставлении кредита юридическому лицу или индивидуальному предпринимателю также в случаях, предусмотренных кредитным договором.</w:t>
      </w:r>
    </w:p>
    <w:p w:rsidR="0014758A" w:rsidRPr="00B102E3" w:rsidRDefault="00C739AB">
      <w:pPr>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В соответствии с пунктом 2 статьи 811 Гражданского кодекса Российской Федерации если договором займа предусмотрено возвращение займа по частям (в рассрочку), то при нарушении заемщиком срока, установленного для возврата очередной части займа, займодавец вправе потребовать досрочного возврата всей оставшейся суммы займа вместе с процентами за пользование займом, причитающимися на момент его возврата.</w:t>
      </w:r>
      <w:proofErr w:type="gramEnd"/>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Доказательство признается арбитражным судом достоверным, если в результате его проверки и исследования выясняется, что содержащиеся в нем сведения соответствуют действительности.</w:t>
      </w:r>
    </w:p>
    <w:p w:rsidR="0014758A" w:rsidRPr="00B102E3" w:rsidRDefault="00C739AB">
      <w:pPr>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В силу части 3.1 статьи 70 Арбитражного процессуального кодекса Российской Федерации обстоятельства, на которые ссылается сторона в обоснование своих требований или возражений, считаются признанными другой стороной, если они ею прямо не оспорены или несогласие с такими обстоятельствами не вытекает из иных доказательств, обосновывающих представленные возражения относительно существа заявленных требований.</w:t>
      </w:r>
      <w:proofErr w:type="gramEnd"/>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Часть 5 статьи 70 Арбитражного процессуального кодекса Российской Федерации Ф предусматривает, что обстоятельства, признанные и удостоверенные сторонами в порядке, установленном этой статьей, в случае их принятия арбитражным судом не проверяются им в ходе дальнейшего производства по делу. </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Таким образом, положения части 5 статьи 70 Арбитражного процессуального кодекса Российской Федерации распространяются на обстоятельства, которые считаются признанными стороной в порядке части 3.1 статьи 70 Арбитражного процессуального кодекса Российской Федерации.</w:t>
      </w:r>
    </w:p>
    <w:p w:rsidR="0014758A" w:rsidRPr="00B102E3" w:rsidRDefault="00C739AB">
      <w:pPr>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 xml:space="preserve">Практика применения вышеназванных норм Арбитражного процессуального кодекса Российской Федерации определена в Постановлении Президиума ВАС РФ № 8127 от 15.10.2013, где разъяснено, что в условиях, когда обстоятельства считаются признанными ответчиком согласно частей 3.1. и 5 статьи 70 Арбитражного процессуального кодекса Российской Федерации, суд не вправе принимать на себя функцию ответчика и опровергать доводы и доказательства, представленные истцом. </w:t>
      </w:r>
      <w:proofErr w:type="gramEnd"/>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В постановлении Президиума Высшего Арбитражного Суда Российской Федерации от 06.03.2012 № 12505/11 указано, что нежелание представить доказательства должно квалифицироваться исключительно как отказ от опровержения того факта, на наличие которого аргументированно со ссылкой на конкретные документы указывает процессуальный оппонент. Участвующее в деле лицо, не совершившее процессуальное действие, несет риск наступления последствий такого своего поведения.</w:t>
      </w:r>
    </w:p>
    <w:p w:rsidR="0014758A" w:rsidRPr="00B102E3" w:rsidRDefault="00C739AB">
      <w:pPr>
        <w:ind w:firstLine="720"/>
        <w:contextualSpacing/>
        <w:jc w:val="both"/>
        <w:rPr>
          <w:rFonts w:ascii="Times New Roman" w:hAnsi="Times New Roman" w:cs="Times New Roman"/>
        </w:rPr>
      </w:pPr>
      <w:r w:rsidRPr="00B102E3">
        <w:rPr>
          <w:rFonts w:ascii="Times New Roman" w:eastAsia="Times New Roman" w:hAnsi="Times New Roman" w:cs="Times New Roman"/>
        </w:rPr>
        <w:t>Ответчиком в материалы дела отзыв на исковое заявление не представлен,</w:t>
      </w:r>
      <w:r w:rsidR="000413CD" w:rsidRPr="00B102E3">
        <w:rPr>
          <w:rFonts w:ascii="Times New Roman" w:eastAsia="Times New Roman" w:hAnsi="Times New Roman" w:cs="Times New Roman"/>
        </w:rPr>
        <w:t xml:space="preserve"> </w:t>
      </w:r>
      <w:r w:rsidRPr="00B102E3">
        <w:rPr>
          <w:rFonts w:ascii="Times New Roman" w:eastAsia="Times New Roman" w:hAnsi="Times New Roman" w:cs="Times New Roman"/>
        </w:rPr>
        <w:t>доказательств возврата кредитных сре</w:t>
      </w:r>
      <w:proofErr w:type="gramStart"/>
      <w:r w:rsidRPr="00B102E3">
        <w:rPr>
          <w:rFonts w:ascii="Times New Roman" w:eastAsia="Times New Roman" w:hAnsi="Times New Roman" w:cs="Times New Roman"/>
        </w:rPr>
        <w:t>дств в п</w:t>
      </w:r>
      <w:proofErr w:type="gramEnd"/>
      <w:r w:rsidRPr="00B102E3">
        <w:rPr>
          <w:rFonts w:ascii="Times New Roman" w:eastAsia="Times New Roman" w:hAnsi="Times New Roman" w:cs="Times New Roman"/>
        </w:rPr>
        <w:t>олном объеме не представлено.</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Расчет суммы основного долга и процентов за пользование займом судом проверен и признается надлежащим.</w:t>
      </w:r>
    </w:p>
    <w:p w:rsidR="0014758A" w:rsidRPr="00B102E3" w:rsidRDefault="00C739AB">
      <w:pPr>
        <w:ind w:firstLine="720"/>
        <w:contextualSpacing/>
        <w:jc w:val="both"/>
        <w:rPr>
          <w:rFonts w:ascii="Times New Roman" w:eastAsia="Times New Roman" w:hAnsi="Times New Roman" w:cs="Times New Roman"/>
        </w:rPr>
      </w:pPr>
      <w:proofErr w:type="gramStart"/>
      <w:r w:rsidRPr="00B102E3">
        <w:rPr>
          <w:rFonts w:ascii="Times New Roman" w:hAnsi="Times New Roman" w:cs="Times New Roman"/>
        </w:rPr>
        <w:t>На основании вышеизложенного с ответчика в пользу истца надлежит взыскать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w:t>
      </w:r>
      <w:proofErr w:type="gramEnd"/>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Кроме того, истцом заявлено требование о взыскании неустойки </w:t>
      </w:r>
      <w:r w:rsidR="00E45790" w:rsidRPr="00B102E3">
        <w:rPr>
          <w:rFonts w:ascii="Times New Roman" w:eastAsia="Times New Roman" w:hAnsi="Times New Roman" w:cs="Times New Roman"/>
        </w:rPr>
        <w:t xml:space="preserve"> </w:t>
      </w:r>
      <w:r w:rsidRPr="00B102E3">
        <w:rPr>
          <w:rFonts w:ascii="Times New Roman" w:eastAsia="Times New Roman" w:hAnsi="Times New Roman" w:cs="Times New Roman"/>
        </w:rPr>
        <w:t>в размере  [15]руб.</w:t>
      </w:r>
    </w:p>
    <w:p w:rsidR="0014758A" w:rsidRPr="00B102E3" w:rsidRDefault="00C739AB">
      <w:pPr>
        <w:ind w:firstLine="720"/>
        <w:contextualSpacing/>
        <w:jc w:val="both"/>
        <w:rPr>
          <w:rFonts w:ascii="Times New Roman" w:hAnsi="Times New Roman" w:cs="Times New Roman"/>
        </w:rPr>
      </w:pPr>
      <w:r w:rsidRPr="00B102E3">
        <w:rPr>
          <w:rFonts w:ascii="Times New Roman" w:eastAsia="Times New Roman" w:hAnsi="Times New Roman" w:cs="Times New Roman"/>
        </w:rPr>
        <w:lastRenderedPageBreak/>
        <w:t>В соответствии с пунктом 1 статьи 330 Гражданского кодекса Российской Федерации неустойкой (штрафом, пеней) признается определенная законом или договором денежная сумма, которую должник обязан уплатить кредитору в случае неисполнения или ненадлежащего исполнения обязательства, в частности в случае просрочки исполнения. По требованию об уплате неустойки кредитор не обязан доказывать причинение ему убытков.</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Согласно условиям Кредитного договора при несвоевременном перечислении Обязательного платежа по кредиту, включающего уплату процентов и иных платежей по Кредитному договору  ЗАЕМЩИК уплачивает Банку неустойку в размере, в Условиях кредитования.</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Неустойка рассчитывается от суммы просроченного обязательства за каждый день просрочки </w:t>
      </w:r>
      <w:proofErr w:type="gramStart"/>
      <w:r w:rsidRPr="00B102E3">
        <w:rPr>
          <w:rFonts w:ascii="Times New Roman" w:eastAsia="Times New Roman" w:hAnsi="Times New Roman" w:cs="Times New Roman"/>
        </w:rPr>
        <w:t>с даты возникновения</w:t>
      </w:r>
      <w:proofErr w:type="gramEnd"/>
      <w:r w:rsidRPr="00B102E3">
        <w:rPr>
          <w:rFonts w:ascii="Times New Roman" w:eastAsia="Times New Roman" w:hAnsi="Times New Roman" w:cs="Times New Roman"/>
        </w:rPr>
        <w:t xml:space="preserve"> просроченной задолженности (не включая эту дату) по дату полного погашения просроченной задолженности (включительно).</w:t>
      </w:r>
    </w:p>
    <w:p w:rsidR="0014758A" w:rsidRPr="00B102E3" w:rsidRDefault="00C739AB">
      <w:pPr>
        <w:spacing w:line="240" w:lineRule="auto"/>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Установив, что ответчиком не представлено доказательств исключительности данного случая и доказательств того, что взыскание неустойки в предусмотренном договором размере может привести к получению кредитором необоснованной выгоды, не представлено доказательств несоответствия размера заявленной к взысканию неустойки последствиям нарушения обязательства, суд не усматривает оснований для применения положений ст. 333 Гражданского кодекса Российской Федерации.</w:t>
      </w:r>
      <w:proofErr w:type="gramEnd"/>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С учетом установленного факта просрочки исполнения обязательств по договору, истцом правомерно заявлено требование о взыскании неустойки. Расчет произведен арифметически и методологически верно, оснований для перерасчета не установлено.</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Таким образом, требование о взыскании неустойки в размере [15] руб. подлежит удовлетворению.</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Истцом также заявлено требование об обращении взыскания на заложенное имущество по договору залога № [0005] от [0006] .</w:t>
      </w:r>
      <w:bookmarkStart w:id="0" w:name="_GoBack"/>
      <w:bookmarkEnd w:id="0"/>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Залог обеспечивает требование в том объеме, какой оно имеет к моменту удовлетворения.</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Предметом залога № [0005] от [0006]</w:t>
      </w:r>
      <w:r w:rsidR="00E45790" w:rsidRPr="00B102E3">
        <w:rPr>
          <w:rFonts w:ascii="Times New Roman" w:eastAsia="Times New Roman" w:hAnsi="Times New Roman" w:cs="Times New Roman"/>
        </w:rPr>
        <w:t xml:space="preserve">, являются </w:t>
      </w:r>
      <w:r w:rsidR="000413CD" w:rsidRPr="00B102E3">
        <w:rPr>
          <w:rFonts w:ascii="Times New Roman" w:eastAsia="Times New Roman" w:hAnsi="Times New Roman" w:cs="Times New Roman"/>
        </w:rPr>
        <w:t>[122</w:t>
      </w:r>
      <w:r w:rsidR="00AA69BE" w:rsidRPr="00B102E3">
        <w:rPr>
          <w:rFonts w:ascii="Times New Roman" w:eastAsia="Times New Roman" w:hAnsi="Times New Roman" w:cs="Times New Roman"/>
        </w:rPr>
        <w:t>1</w:t>
      </w:r>
      <w:r w:rsidR="000413CD" w:rsidRPr="00B102E3">
        <w:rPr>
          <w:rFonts w:ascii="Times New Roman" w:eastAsia="Times New Roman" w:hAnsi="Times New Roman" w:cs="Times New Roman"/>
        </w:rPr>
        <w:t>]</w:t>
      </w:r>
      <w:r w:rsidR="00AA69BE" w:rsidRPr="00B102E3">
        <w:rPr>
          <w:rFonts w:ascii="Times New Roman" w:eastAsia="Times New Roman" w:hAnsi="Times New Roman" w:cs="Times New Roman"/>
        </w:rPr>
        <w:t xml:space="preserve"> </w:t>
      </w:r>
      <w:proofErr w:type="gramStart"/>
      <w:r w:rsidR="00E45790" w:rsidRPr="00B102E3">
        <w:rPr>
          <w:rFonts w:ascii="Times New Roman" w:eastAsia="Times New Roman" w:hAnsi="Times New Roman" w:cs="Times New Roman"/>
        </w:rPr>
        <w:t>принадлежащее</w:t>
      </w:r>
      <w:proofErr w:type="gramEnd"/>
      <w:r w:rsidR="004176F9" w:rsidRPr="00B102E3">
        <w:rPr>
          <w:rFonts w:ascii="Times New Roman" w:eastAsia="Times New Roman" w:hAnsi="Times New Roman" w:cs="Times New Roman"/>
        </w:rPr>
        <w:t xml:space="preserve">: </w:t>
      </w:r>
      <w:r w:rsidR="000413CD" w:rsidRPr="00B102E3">
        <w:rPr>
          <w:rFonts w:ascii="Times New Roman" w:eastAsia="Times New Roman" w:hAnsi="Times New Roman" w:cs="Times New Roman"/>
        </w:rPr>
        <w:t>[2.2</w:t>
      </w:r>
      <w:r w:rsidRPr="00B102E3">
        <w:rPr>
          <w:rFonts w:ascii="Times New Roman" w:eastAsia="Times New Roman" w:hAnsi="Times New Roman" w:cs="Times New Roman"/>
        </w:rPr>
        <w:t>].</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Оценочная стоимость заложенного имущества определяется сторонами в сумме </w:t>
      </w:r>
      <w:r w:rsidR="00BE660F" w:rsidRPr="00B102E3">
        <w:rPr>
          <w:rFonts w:ascii="Times New Roman" w:eastAsia="Times New Roman" w:hAnsi="Times New Roman" w:cs="Times New Roman"/>
        </w:rPr>
        <w:t>________</w:t>
      </w:r>
      <w:r w:rsidRPr="00B102E3">
        <w:rPr>
          <w:rFonts w:ascii="Times New Roman" w:eastAsia="Times New Roman" w:hAnsi="Times New Roman" w:cs="Times New Roman"/>
        </w:rPr>
        <w:t>.</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Согласно п. 1 статьи 329 Гражданского кодекса Российской Федерации, исполнение обязательств может обеспечиваться неустойкой, залогом, удержанием имущества должника, поручительством, банковской гарантией, задатком и другими способами, предусмотренными законом или договором.</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В соответствии со статьей 334 Гражданского кодекса Российской Федерации, кредитор по, обеспеченному залогом, обязательству (залогодержатель) имеет право в случае неисполнения должником этого обязательства получить удовлетворение из стоимости заложенного имущества преимущественно перед другими кредиторами лица, которому принадлежит это имущество (залогодателя), за изъятиями, установленными законом. В случаях и в порядке, которые установлены законами, удовлетворение требования кредитора по обеспеченному </w:t>
      </w:r>
      <w:proofErr w:type="gramStart"/>
      <w:r w:rsidRPr="00B102E3">
        <w:rPr>
          <w:rFonts w:ascii="Times New Roman" w:eastAsia="Times New Roman" w:hAnsi="Times New Roman" w:cs="Times New Roman"/>
        </w:rPr>
        <w:t>залогом обязательству</w:t>
      </w:r>
      <w:proofErr w:type="gramEnd"/>
      <w:r w:rsidRPr="00B102E3">
        <w:rPr>
          <w:rFonts w:ascii="Times New Roman" w:eastAsia="Times New Roman" w:hAnsi="Times New Roman" w:cs="Times New Roman"/>
        </w:rPr>
        <w:t xml:space="preserve"> (залогодержателя) может осуществляться путем передачи предмета залога в собственность залогодержателя.</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В соответствии со статьей 337 Гражданского кодекса Российской Федерации, если иное не предусмотрено договором, залог обеспечивает требование в том объеме, какой оно имеет </w:t>
      </w:r>
      <w:proofErr w:type="gramStart"/>
      <w:r w:rsidRPr="00B102E3">
        <w:rPr>
          <w:rFonts w:ascii="Times New Roman" w:eastAsia="Times New Roman" w:hAnsi="Times New Roman" w:cs="Times New Roman"/>
        </w:rPr>
        <w:t>к</w:t>
      </w:r>
      <w:proofErr w:type="gramEnd"/>
      <w:r w:rsidRPr="00B102E3">
        <w:rPr>
          <w:rFonts w:ascii="Times New Roman" w:eastAsia="Times New Roman" w:hAnsi="Times New Roman" w:cs="Times New Roman"/>
        </w:rPr>
        <w:t xml:space="preserve"> моменту удовлетворения, в частности, проценты, неустойку, возмещение убытков, причиненных просрочкой исполнения, а также возмещение необходимых расходов залогодержателя на содержание заложенной вещи и расходов по взысканию.</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Факт ненадлежащего исполнения ответчиком взятых на себя обязательств по кредитному договору подтвержден имеющимися в материалах дела доказательствами. </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В силу статьи 348 Гражданского кодекса Российской Федерации взыскание на заложенное имущество для удовлетворения требований залогодержателя может быть обращено в случае неисполнения или ненадлежащего исполнения должником обеспеченного залогом обязательства.</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 xml:space="preserve">Обращение взыскания на заложенное имущество не допускается, если допущенное должником нарушение обеспеченного залогом обязательства незначительно и размер требований </w:t>
      </w:r>
      <w:r w:rsidRPr="00B102E3">
        <w:rPr>
          <w:rFonts w:ascii="Times New Roman" w:eastAsia="Times New Roman" w:hAnsi="Times New Roman" w:cs="Times New Roman"/>
        </w:rPr>
        <w:lastRenderedPageBreak/>
        <w:t>залогодержателя вследствие этого явно несоразмерен стоимости заложенного имущества. Если не доказано иное, предполагается, что нарушение обеспеченного залогом обязательства незначительно и размер требований залогодержателя явно несоразмерен стоимости заложенного имущества при условии, что одновременно соблюдены следующие условия:</w:t>
      </w:r>
    </w:p>
    <w:p w:rsidR="0014758A" w:rsidRPr="00B102E3" w:rsidRDefault="00C739AB">
      <w:pPr>
        <w:ind w:firstLine="720"/>
        <w:contextualSpacing/>
        <w:jc w:val="both"/>
        <w:rPr>
          <w:rFonts w:ascii="Times New Roman" w:hAnsi="Times New Roman" w:cs="Times New Roman"/>
        </w:rPr>
      </w:pPr>
      <w:r w:rsidRPr="00B102E3">
        <w:rPr>
          <w:rFonts w:ascii="Times New Roman" w:eastAsia="Times New Roman" w:hAnsi="Times New Roman" w:cs="Times New Roman"/>
        </w:rPr>
        <w:t>1) сумма неисполненного обязательства составляет менее чем пять процентов от размера стоимости заложенного имущества;</w:t>
      </w:r>
    </w:p>
    <w:p w:rsidR="0014758A" w:rsidRPr="00B102E3" w:rsidRDefault="00C739AB">
      <w:pPr>
        <w:ind w:firstLine="720"/>
        <w:contextualSpacing/>
        <w:jc w:val="both"/>
        <w:rPr>
          <w:rFonts w:ascii="Times New Roman" w:hAnsi="Times New Roman" w:cs="Times New Roman"/>
        </w:rPr>
      </w:pPr>
      <w:r w:rsidRPr="00B102E3">
        <w:rPr>
          <w:rFonts w:ascii="Times New Roman" w:eastAsia="Times New Roman" w:hAnsi="Times New Roman" w:cs="Times New Roman"/>
        </w:rPr>
        <w:t>2) период просрочки исполнения обязательства, обеспеченного залогом, составляет менее чем три месяца.</w:t>
      </w:r>
    </w:p>
    <w:p w:rsidR="0014758A" w:rsidRPr="00B102E3" w:rsidRDefault="00C739AB">
      <w:pPr>
        <w:ind w:firstLine="720"/>
        <w:contextualSpacing/>
        <w:jc w:val="both"/>
        <w:rPr>
          <w:rFonts w:ascii="Times New Roman" w:eastAsia="Times New Roman" w:hAnsi="Times New Roman" w:cs="Times New Roman"/>
        </w:rPr>
      </w:pPr>
      <w:proofErr w:type="gramStart"/>
      <w:r w:rsidRPr="00B102E3">
        <w:rPr>
          <w:rFonts w:ascii="Times New Roman" w:eastAsia="Times New Roman" w:hAnsi="Times New Roman" w:cs="Times New Roman"/>
        </w:rPr>
        <w:t>Если договором залога не предусмотрено иное, обращение взыскания на имущество, заложенное для обеспечения обязательства, исполняемого периодическими платежами, допускается при систематическом нарушении сроков их внесения, то есть при нарушении сроков внесения платежей более чем три раза в течение двенадцати месяцев, предшествующих дате обращения в суд или дате направления уведомления об обращении взыскания на заложенное имущество во внесудебном порядке, даже при условии</w:t>
      </w:r>
      <w:proofErr w:type="gramEnd"/>
      <w:r w:rsidRPr="00B102E3">
        <w:rPr>
          <w:rFonts w:ascii="Times New Roman" w:eastAsia="Times New Roman" w:hAnsi="Times New Roman" w:cs="Times New Roman"/>
        </w:rPr>
        <w:t>, что каждая просрочка незначительна.</w:t>
      </w:r>
    </w:p>
    <w:p w:rsidR="0014758A" w:rsidRPr="00B102E3" w:rsidRDefault="00C739AB">
      <w:pPr>
        <w:ind w:firstLine="720"/>
        <w:contextualSpacing/>
        <w:jc w:val="both"/>
        <w:rPr>
          <w:rFonts w:ascii="Times New Roman" w:hAnsi="Times New Roman" w:cs="Times New Roman"/>
        </w:rPr>
      </w:pPr>
      <w:r w:rsidRPr="00B102E3">
        <w:rPr>
          <w:rFonts w:ascii="Times New Roman" w:eastAsia="Times New Roman" w:hAnsi="Times New Roman" w:cs="Times New Roman"/>
        </w:rPr>
        <w:t>Учитывая, что в рамках данного дела не установлено наличие условий, предусмотренных частью 2 статьи 348 Гражданского кодекса Российской Федерации, то отсутствуют основания для отказа в удовлетворении требований истца в части обращения взыскания на имущество, заложенное по Договору залога № [0005]от [0006]</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В соответствии с частью 2 статьи 168 Арбитражного процессуального кодекса Российской Федерации, при принятии решения арбитражный суд, в том числе, распределяет судебные расходы.</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Частью 1 статьи 110 Арбитражного процессуального кодекса Российской Федерации предусмотрено, что судебные расходы, понесенные лицами, участвующими в деле, в пользу которых принят судебный акт, взыскиваются арбитражным судом со стороны пропорционально размеру удовлетворенных требований.</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hAnsi="Times New Roman" w:cs="Times New Roman"/>
        </w:rPr>
        <w:t>Истцом при подаче искового заявления была оплачена государственная пошлина в размере [16]   руб., что подтверждается платежным поручением от [81] № [801] .</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Исходя из правил, установленных статьей 110 Арбитражного процессуального кодекса Российской Федерации, судебные расходы по оплате государственной пошлины, понесенные истцом при подаче искового заявления, подлежат отнесению судом на отве</w:t>
      </w:r>
      <w:r w:rsidR="00E45790" w:rsidRPr="00B102E3">
        <w:rPr>
          <w:rFonts w:ascii="Times New Roman" w:eastAsia="Times New Roman" w:hAnsi="Times New Roman" w:cs="Times New Roman"/>
        </w:rPr>
        <w:t>тчика в сумме</w:t>
      </w:r>
      <w:r w:rsidRPr="00B102E3">
        <w:rPr>
          <w:rFonts w:ascii="Times New Roman" w:eastAsia="Times New Roman" w:hAnsi="Times New Roman" w:cs="Times New Roman"/>
        </w:rPr>
        <w:t xml:space="preserve"> [16]руб.</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Руководствуясь статьями 110, 167-170 Арбитражного процессуального кодекса Российской Федерации, арбитражный суд</w:t>
      </w:r>
    </w:p>
    <w:p w:rsidR="0014758A" w:rsidRPr="00B102E3" w:rsidRDefault="00C739AB">
      <w:pPr>
        <w:ind w:firstLine="720"/>
        <w:contextualSpacing/>
        <w:jc w:val="center"/>
        <w:rPr>
          <w:rFonts w:ascii="Times New Roman" w:eastAsia="Times New Roman" w:hAnsi="Times New Roman" w:cs="Times New Roman"/>
        </w:rPr>
      </w:pPr>
      <w:proofErr w:type="gramStart"/>
      <w:r w:rsidRPr="00B102E3">
        <w:rPr>
          <w:rFonts w:ascii="Times New Roman" w:eastAsia="Times New Roman" w:hAnsi="Times New Roman" w:cs="Times New Roman"/>
        </w:rPr>
        <w:t>Р</w:t>
      </w:r>
      <w:proofErr w:type="gramEnd"/>
      <w:r w:rsidRPr="00B102E3">
        <w:rPr>
          <w:rFonts w:ascii="Times New Roman" w:eastAsia="Times New Roman" w:hAnsi="Times New Roman" w:cs="Times New Roman"/>
        </w:rPr>
        <w:t xml:space="preserve"> Е Ш И Л:</w:t>
      </w:r>
    </w:p>
    <w:p w:rsidR="0014758A" w:rsidRPr="00B102E3" w:rsidRDefault="0014758A">
      <w:pPr>
        <w:ind w:firstLine="720"/>
        <w:contextualSpacing/>
        <w:jc w:val="center"/>
        <w:rPr>
          <w:rFonts w:ascii="Times New Roman" w:eastAsia="Times New Roman" w:hAnsi="Times New Roman" w:cs="Times New Roman"/>
        </w:rPr>
      </w:pPr>
    </w:p>
    <w:p w:rsidR="0014758A" w:rsidRPr="00B102E3" w:rsidRDefault="00C739AB">
      <w:pPr>
        <w:spacing w:line="240" w:lineRule="auto"/>
        <w:ind w:firstLine="720"/>
        <w:contextualSpacing/>
        <w:jc w:val="both"/>
        <w:rPr>
          <w:rFonts w:ascii="Times New Roman" w:eastAsia="Times New Roman" w:hAnsi="Times New Roman" w:cs="Times New Roman"/>
        </w:rPr>
      </w:pPr>
      <w:proofErr w:type="gramStart"/>
      <w:r w:rsidRPr="00B102E3">
        <w:rPr>
          <w:rFonts w:ascii="Times New Roman" w:hAnsi="Times New Roman" w:cs="Times New Roman"/>
        </w:rPr>
        <w:t>Взыскать с общества с ограниченной ответственностью «[2]» в пользу «[989]» (ОГРН [990], ИНН [991]) задолженность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основного долга в размере [13] руб., просроченных процентов в размере [14] руб., неустойки в</w:t>
      </w:r>
      <w:proofErr w:type="gramEnd"/>
      <w:r w:rsidRPr="00B102E3">
        <w:rPr>
          <w:rFonts w:ascii="Times New Roman" w:hAnsi="Times New Roman" w:cs="Times New Roman"/>
        </w:rPr>
        <w:t xml:space="preserve"> </w:t>
      </w:r>
      <w:proofErr w:type="gramStart"/>
      <w:r w:rsidRPr="00B102E3">
        <w:rPr>
          <w:rFonts w:ascii="Times New Roman" w:hAnsi="Times New Roman" w:cs="Times New Roman"/>
        </w:rPr>
        <w:t>размере</w:t>
      </w:r>
      <w:proofErr w:type="gramEnd"/>
      <w:r w:rsidRPr="00B102E3">
        <w:rPr>
          <w:rFonts w:ascii="Times New Roman" w:hAnsi="Times New Roman" w:cs="Times New Roman"/>
        </w:rPr>
        <w:t xml:space="preserve"> [15] руб., комиссия Банка –  [122] руб., расходы по оплате государственной пошлины в размере [16] руб.</w:t>
      </w:r>
    </w:p>
    <w:p w:rsidR="0014758A" w:rsidRPr="00B102E3" w:rsidRDefault="00C739AB">
      <w:pPr>
        <w:spacing w:line="240" w:lineRule="auto"/>
        <w:ind w:firstLine="709"/>
        <w:contextualSpacing/>
        <w:jc w:val="both"/>
        <w:rPr>
          <w:rFonts w:ascii="Times New Roman" w:hAnsi="Times New Roman" w:cs="Times New Roman"/>
        </w:rPr>
      </w:pPr>
      <w:r w:rsidRPr="00B102E3">
        <w:rPr>
          <w:rFonts w:ascii="Times New Roman" w:hAnsi="Times New Roman" w:cs="Times New Roman"/>
        </w:rPr>
        <w:t>В счет погашения задолженности по кредитному договору от [100] № [110] кредитный договор от [101] № [111], кредитный договор от [102] № [112], кредитный договор от [103] № [113], кредитный договор от [104] № [114], договор поручительства от [105] № [115]  обратить взыскание на заложенное имущество по договору залога № [0005] от [0006], принадлежащее [2.2]</w:t>
      </w:r>
      <w:proofErr w:type="gramStart"/>
      <w:r w:rsidRPr="00B102E3">
        <w:rPr>
          <w:rFonts w:ascii="Times New Roman" w:hAnsi="Times New Roman" w:cs="Times New Roman"/>
        </w:rPr>
        <w:t xml:space="preserve"> :</w:t>
      </w:r>
      <w:proofErr w:type="gramEnd"/>
      <w:r w:rsidRPr="00B102E3">
        <w:rPr>
          <w:rFonts w:ascii="Times New Roman" w:hAnsi="Times New Roman" w:cs="Times New Roman"/>
        </w:rPr>
        <w:t xml:space="preserve"> [1221].</w:t>
      </w:r>
    </w:p>
    <w:p w:rsidR="0014758A" w:rsidRPr="00B102E3" w:rsidRDefault="00C739AB">
      <w:pPr>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Решение суда по настоящему делу вступает в законную силу по истечении месячного срока со дня его принятия, если не подана апелляционная жалоба. В случае подачи апелляционной жалобы решение, если оно не отменено и не изменено, вступает в законную силу со дня принятия постановления арбитражного суда апелляционной инстанции.</w:t>
      </w:r>
    </w:p>
    <w:p w:rsidR="0014758A" w:rsidRPr="00B102E3" w:rsidRDefault="00C739AB">
      <w:pPr>
        <w:spacing w:line="240" w:lineRule="auto"/>
        <w:ind w:firstLine="720"/>
        <w:contextualSpacing/>
        <w:jc w:val="both"/>
        <w:rPr>
          <w:rFonts w:ascii="Times New Roman" w:eastAsia="Times New Roman" w:hAnsi="Times New Roman" w:cs="Times New Roman"/>
        </w:rPr>
      </w:pPr>
      <w:r w:rsidRPr="00B102E3">
        <w:rPr>
          <w:rFonts w:ascii="Times New Roman" w:eastAsia="Times New Roman" w:hAnsi="Times New Roman" w:cs="Times New Roman"/>
        </w:rPr>
        <w:t>Решение может быть обжаловано через суд, вынесший решение, в апелляционном порядке в Пятнадцатый арбитражный апелляционный суд в течение месяца с даты принятия решения, а также в кассационном порядке в Арбитражный суд Север</w:t>
      </w:r>
      <w:proofErr w:type="gramStart"/>
      <w:r w:rsidRPr="00B102E3">
        <w:rPr>
          <w:rFonts w:ascii="Times New Roman" w:eastAsia="Times New Roman" w:hAnsi="Times New Roman" w:cs="Times New Roman"/>
        </w:rPr>
        <w:t>о-</w:t>
      </w:r>
      <w:proofErr w:type="gramEnd"/>
      <w:r w:rsidRPr="00B102E3">
        <w:rPr>
          <w:rFonts w:ascii="Times New Roman" w:eastAsia="Times New Roman" w:hAnsi="Times New Roman" w:cs="Times New Roman"/>
        </w:rPr>
        <w:t xml:space="preserve"> Кавказского округа, в течение двух месяцев с даты вступления решения по делу в законную силу при условии, что оно было </w:t>
      </w:r>
      <w:r w:rsidRPr="00B102E3">
        <w:rPr>
          <w:rFonts w:ascii="Times New Roman" w:eastAsia="Times New Roman" w:hAnsi="Times New Roman" w:cs="Times New Roman"/>
        </w:rPr>
        <w:lastRenderedPageBreak/>
        <w:t>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w:t>
      </w:r>
    </w:p>
    <w:p w:rsidR="0014758A" w:rsidRPr="00B102E3" w:rsidRDefault="0014758A">
      <w:pPr>
        <w:spacing w:line="240" w:lineRule="auto"/>
        <w:ind w:firstLine="720"/>
        <w:contextualSpacing/>
        <w:jc w:val="both"/>
        <w:rPr>
          <w:rFonts w:ascii="Times New Roman" w:eastAsia="Times New Roman" w:hAnsi="Times New Roman" w:cs="Times New Roman"/>
        </w:rPr>
      </w:pPr>
    </w:p>
    <w:p w:rsidR="0014758A" w:rsidRPr="00B102E3" w:rsidRDefault="0014758A">
      <w:pPr>
        <w:spacing w:line="240" w:lineRule="auto"/>
        <w:ind w:firstLine="720"/>
        <w:contextualSpacing/>
        <w:jc w:val="both"/>
        <w:rPr>
          <w:rFonts w:ascii="Times New Roman" w:eastAsia="Times New Roman" w:hAnsi="Times New Roman" w:cs="Times New Roman"/>
        </w:rPr>
      </w:pPr>
    </w:p>
    <w:tbl>
      <w:tblPr>
        <w:tblStyle w:val="af"/>
        <w:tblW w:w="0" w:type="auto"/>
        <w:tblLook w:val="04A0" w:firstRow="1" w:lastRow="0" w:firstColumn="1" w:lastColumn="0" w:noHBand="0" w:noVBand="1"/>
      </w:tblPr>
      <w:tblGrid>
        <w:gridCol w:w="4677"/>
        <w:gridCol w:w="4677"/>
      </w:tblGrid>
      <w:tr w:rsidR="0014758A" w:rsidRPr="00B102E3">
        <w:trPr>
          <w:trHeight w:val="299"/>
        </w:trPr>
        <w:tc>
          <w:tcPr>
            <w:tcW w:w="4677" w:type="dxa"/>
            <w:tcBorders>
              <w:top w:val="none" w:sz="4" w:space="0" w:color="000000"/>
              <w:left w:val="none" w:sz="4" w:space="0" w:color="000000"/>
              <w:bottom w:val="none" w:sz="4" w:space="0" w:color="000000"/>
              <w:right w:val="none" w:sz="4" w:space="0" w:color="000000"/>
            </w:tcBorders>
          </w:tcPr>
          <w:p w:rsidR="0014758A" w:rsidRPr="00B102E3" w:rsidRDefault="00C739AB">
            <w:pPr>
              <w:contextualSpacing/>
              <w:jc w:val="both"/>
              <w:rPr>
                <w:rFonts w:ascii="Times New Roman" w:eastAsia="Times New Roman" w:hAnsi="Times New Roman" w:cs="Times New Roman"/>
              </w:rPr>
            </w:pPr>
            <w:r w:rsidRPr="00B102E3">
              <w:rPr>
                <w:rFonts w:ascii="Times New Roman" w:eastAsia="Times New Roman" w:hAnsi="Times New Roman" w:cs="Times New Roman"/>
              </w:rPr>
              <w:t>Судья</w:t>
            </w:r>
          </w:p>
        </w:tc>
        <w:tc>
          <w:tcPr>
            <w:tcW w:w="4677" w:type="dxa"/>
            <w:tcBorders>
              <w:top w:val="none" w:sz="4" w:space="0" w:color="000000"/>
              <w:left w:val="none" w:sz="4" w:space="0" w:color="000000"/>
              <w:bottom w:val="none" w:sz="4" w:space="0" w:color="000000"/>
              <w:right w:val="none" w:sz="4" w:space="0" w:color="000000"/>
            </w:tcBorders>
          </w:tcPr>
          <w:p w:rsidR="0014758A" w:rsidRPr="00B102E3" w:rsidRDefault="000413CD">
            <w:pPr>
              <w:contextualSpacing/>
              <w:jc w:val="right"/>
              <w:rPr>
                <w:rFonts w:ascii="Times New Roman" w:eastAsia="Times New Roman" w:hAnsi="Times New Roman" w:cs="Times New Roman"/>
                <w:lang w:val="en-US"/>
              </w:rPr>
            </w:pPr>
            <w:r w:rsidRPr="00B102E3">
              <w:rPr>
                <w:rFonts w:ascii="Times New Roman" w:eastAsia="Times New Roman" w:hAnsi="Times New Roman" w:cs="Times New Roman"/>
                <w:lang w:val="en-US"/>
              </w:rPr>
              <w:t>[415]</w:t>
            </w:r>
          </w:p>
        </w:tc>
      </w:tr>
    </w:tbl>
    <w:p w:rsidR="0014758A" w:rsidRPr="00B102E3" w:rsidRDefault="0014758A">
      <w:pPr>
        <w:spacing w:line="240" w:lineRule="auto"/>
        <w:ind w:firstLine="720"/>
        <w:contextualSpacing/>
        <w:jc w:val="both"/>
        <w:rPr>
          <w:rFonts w:ascii="Times New Roman" w:hAnsi="Times New Roman" w:cs="Times New Roman"/>
        </w:rPr>
      </w:pPr>
    </w:p>
    <w:sectPr w:rsidR="0014758A" w:rsidRPr="00B102E3">
      <w:pgSz w:w="11906" w:h="16838"/>
      <w:pgMar w:top="1134" w:right="850" w:bottom="1134"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6C71C6" w:rsidRDefault="006C71C6">
      <w:pPr>
        <w:spacing w:after="0" w:line="240" w:lineRule="auto"/>
      </w:pPr>
      <w:r>
        <w:separator/>
      </w:r>
    </w:p>
  </w:endnote>
  <w:endnote w:type="continuationSeparator" w:id="0">
    <w:p w:rsidR="006C71C6" w:rsidRDefault="006C71C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CC"/>
    <w:family w:val="swiss"/>
    <w:pitch w:val="variable"/>
    <w:sig w:usb0="E0002EFF" w:usb1="C000785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6C71C6" w:rsidRDefault="006C71C6">
      <w:pPr>
        <w:spacing w:after="0" w:line="240" w:lineRule="auto"/>
      </w:pPr>
      <w:r>
        <w:separator/>
      </w:r>
    </w:p>
  </w:footnote>
  <w:footnote w:type="continuationSeparator" w:id="0">
    <w:p w:rsidR="006C71C6" w:rsidRDefault="006C71C6">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4758A"/>
    <w:rsid w:val="00031D36"/>
    <w:rsid w:val="000413CD"/>
    <w:rsid w:val="000B35E0"/>
    <w:rsid w:val="000E7200"/>
    <w:rsid w:val="0014758A"/>
    <w:rsid w:val="001D007E"/>
    <w:rsid w:val="00250286"/>
    <w:rsid w:val="004176F9"/>
    <w:rsid w:val="0053099B"/>
    <w:rsid w:val="006356DA"/>
    <w:rsid w:val="006C71C6"/>
    <w:rsid w:val="009952CA"/>
    <w:rsid w:val="00AA69BE"/>
    <w:rsid w:val="00AD6F5C"/>
    <w:rsid w:val="00AE0A90"/>
    <w:rsid w:val="00B102E3"/>
    <w:rsid w:val="00BE660F"/>
    <w:rsid w:val="00C14E74"/>
    <w:rsid w:val="00C739AB"/>
    <w:rsid w:val="00D61D0A"/>
    <w:rsid w:val="00E4579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head">
    <w:name w:val="po_head"/>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pPr>
      <w:keepNext/>
      <w:keepLines/>
      <w:spacing w:before="480"/>
      <w:outlineLvl w:val="0"/>
    </w:pPr>
    <w:rPr>
      <w:rFonts w:ascii="Arial" w:eastAsia="Arial" w:hAnsi="Arial" w:cs="Arial"/>
      <w:sz w:val="40"/>
      <w:szCs w:val="40"/>
    </w:rPr>
  </w:style>
  <w:style w:type="paragraph" w:styleId="2">
    <w:name w:val="heading 2"/>
    <w:basedOn w:val="a"/>
    <w:next w:val="a"/>
    <w:link w:val="20"/>
    <w:uiPriority w:val="9"/>
    <w:unhideWhenUsed/>
    <w:qFormat/>
    <w:pPr>
      <w:keepNext/>
      <w:keepLines/>
      <w:spacing w:before="360"/>
      <w:outlineLvl w:val="1"/>
    </w:pPr>
    <w:rPr>
      <w:rFonts w:ascii="Arial" w:eastAsia="Arial" w:hAnsi="Arial" w:cs="Arial"/>
      <w:sz w:val="34"/>
    </w:rPr>
  </w:style>
  <w:style w:type="paragraph" w:styleId="3">
    <w:name w:val="heading 3"/>
    <w:basedOn w:val="a"/>
    <w:next w:val="a"/>
    <w:link w:val="30"/>
    <w:uiPriority w:val="9"/>
    <w:unhideWhenUsed/>
    <w:qFormat/>
    <w:pPr>
      <w:keepNext/>
      <w:keepLines/>
      <w:spacing w:before="320"/>
      <w:outlineLvl w:val="2"/>
    </w:pPr>
    <w:rPr>
      <w:rFonts w:ascii="Arial" w:eastAsia="Arial" w:hAnsi="Arial" w:cs="Arial"/>
      <w:sz w:val="30"/>
      <w:szCs w:val="30"/>
    </w:rPr>
  </w:style>
  <w:style w:type="paragraph" w:styleId="4">
    <w:name w:val="heading 4"/>
    <w:basedOn w:val="a"/>
    <w:next w:val="a"/>
    <w:link w:val="40"/>
    <w:uiPriority w:val="9"/>
    <w:unhideWhenUsed/>
    <w:qFormat/>
    <w:pPr>
      <w:keepNext/>
      <w:keepLines/>
      <w:spacing w:before="320"/>
      <w:outlineLvl w:val="3"/>
    </w:pPr>
    <w:rPr>
      <w:rFonts w:ascii="Arial" w:eastAsia="Arial" w:hAnsi="Arial" w:cs="Arial"/>
      <w:b/>
      <w:bCs/>
      <w:sz w:val="26"/>
      <w:szCs w:val="26"/>
    </w:rPr>
  </w:style>
  <w:style w:type="paragraph" w:styleId="5">
    <w:name w:val="heading 5"/>
    <w:basedOn w:val="a"/>
    <w:next w:val="a"/>
    <w:link w:val="50"/>
    <w:uiPriority w:val="9"/>
    <w:unhideWhenUsed/>
    <w:qFormat/>
    <w:pPr>
      <w:keepNext/>
      <w:keepLines/>
      <w:spacing w:before="320"/>
      <w:outlineLvl w:val="4"/>
    </w:pPr>
    <w:rPr>
      <w:rFonts w:ascii="Arial" w:eastAsia="Arial" w:hAnsi="Arial" w:cs="Arial"/>
      <w:b/>
      <w:bCs/>
      <w:sz w:val="24"/>
      <w:szCs w:val="24"/>
    </w:rPr>
  </w:style>
  <w:style w:type="paragraph" w:styleId="6">
    <w:name w:val="heading 6"/>
    <w:basedOn w:val="a"/>
    <w:next w:val="a"/>
    <w:link w:val="60"/>
    <w:uiPriority w:val="9"/>
    <w:unhideWhenUsed/>
    <w:qFormat/>
    <w:pPr>
      <w:keepNext/>
      <w:keepLines/>
      <w:spacing w:before="320"/>
      <w:outlineLvl w:val="5"/>
    </w:pPr>
    <w:rPr>
      <w:rFonts w:ascii="Arial" w:eastAsia="Arial" w:hAnsi="Arial" w:cs="Arial"/>
      <w:b/>
      <w:bCs/>
    </w:rPr>
  </w:style>
  <w:style w:type="paragraph" w:styleId="7">
    <w:name w:val="heading 7"/>
    <w:basedOn w:val="a"/>
    <w:next w:val="a"/>
    <w:link w:val="70"/>
    <w:uiPriority w:val="9"/>
    <w:unhideWhenUsed/>
    <w:qFormat/>
    <w:pPr>
      <w:keepNext/>
      <w:keepLines/>
      <w:spacing w:before="320"/>
      <w:outlineLvl w:val="6"/>
    </w:pPr>
    <w:rPr>
      <w:rFonts w:ascii="Arial" w:eastAsia="Arial" w:hAnsi="Arial" w:cs="Arial"/>
      <w:b/>
      <w:bCs/>
      <w:i/>
      <w:iCs/>
    </w:rPr>
  </w:style>
  <w:style w:type="paragraph" w:styleId="8">
    <w:name w:val="heading 8"/>
    <w:basedOn w:val="a"/>
    <w:next w:val="a"/>
    <w:link w:val="80"/>
    <w:uiPriority w:val="9"/>
    <w:unhideWhenUsed/>
    <w:qFormat/>
    <w:pPr>
      <w:keepNext/>
      <w:keepLines/>
      <w:spacing w:before="320"/>
      <w:outlineLvl w:val="7"/>
    </w:pPr>
    <w:rPr>
      <w:rFonts w:ascii="Arial" w:eastAsia="Arial" w:hAnsi="Arial" w:cs="Arial"/>
      <w:i/>
      <w:iCs/>
    </w:rPr>
  </w:style>
  <w:style w:type="paragraph" w:styleId="9">
    <w:name w:val="heading 9"/>
    <w:basedOn w:val="a"/>
    <w:next w:val="a"/>
    <w:link w:val="90"/>
    <w:uiPriority w:val="9"/>
    <w:unhideWhenUsed/>
    <w:qFormat/>
    <w:pPr>
      <w:keepNext/>
      <w:keepLines/>
      <w:spacing w:before="320"/>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rFonts w:ascii="Arial" w:eastAsia="Arial" w:hAnsi="Arial" w:cs="Arial"/>
      <w:sz w:val="40"/>
      <w:szCs w:val="40"/>
    </w:rPr>
  </w:style>
  <w:style w:type="character" w:customStyle="1" w:styleId="20">
    <w:name w:val="Заголовок 2 Знак"/>
    <w:link w:val="2"/>
    <w:uiPriority w:val="9"/>
    <w:rPr>
      <w:rFonts w:ascii="Arial" w:eastAsia="Arial" w:hAnsi="Arial" w:cs="Arial"/>
      <w:sz w:val="34"/>
    </w:rPr>
  </w:style>
  <w:style w:type="character" w:customStyle="1" w:styleId="30">
    <w:name w:val="Заголовок 3 Знак"/>
    <w:link w:val="3"/>
    <w:uiPriority w:val="9"/>
    <w:rPr>
      <w:rFonts w:ascii="Arial" w:eastAsia="Arial" w:hAnsi="Arial" w:cs="Arial"/>
      <w:sz w:val="30"/>
      <w:szCs w:val="30"/>
    </w:rPr>
  </w:style>
  <w:style w:type="character" w:customStyle="1" w:styleId="40">
    <w:name w:val="Заголовок 4 Знак"/>
    <w:link w:val="4"/>
    <w:uiPriority w:val="9"/>
    <w:rPr>
      <w:rFonts w:ascii="Arial" w:eastAsia="Arial" w:hAnsi="Arial" w:cs="Arial"/>
      <w:b/>
      <w:bCs/>
      <w:sz w:val="26"/>
      <w:szCs w:val="26"/>
    </w:rPr>
  </w:style>
  <w:style w:type="character" w:customStyle="1" w:styleId="50">
    <w:name w:val="Заголовок 5 Знак"/>
    <w:link w:val="5"/>
    <w:uiPriority w:val="9"/>
    <w:rPr>
      <w:rFonts w:ascii="Arial" w:eastAsia="Arial" w:hAnsi="Arial" w:cs="Arial"/>
      <w:b/>
      <w:bCs/>
      <w:sz w:val="24"/>
      <w:szCs w:val="24"/>
    </w:rPr>
  </w:style>
  <w:style w:type="character" w:customStyle="1" w:styleId="60">
    <w:name w:val="Заголовок 6 Знак"/>
    <w:link w:val="6"/>
    <w:uiPriority w:val="9"/>
    <w:rPr>
      <w:rFonts w:ascii="Arial" w:eastAsia="Arial" w:hAnsi="Arial" w:cs="Arial"/>
      <w:b/>
      <w:bCs/>
      <w:sz w:val="22"/>
      <w:szCs w:val="22"/>
    </w:rPr>
  </w:style>
  <w:style w:type="character" w:customStyle="1" w:styleId="70">
    <w:name w:val="Заголовок 7 Знак"/>
    <w:link w:val="7"/>
    <w:uiPriority w:val="9"/>
    <w:rPr>
      <w:rFonts w:ascii="Arial" w:eastAsia="Arial" w:hAnsi="Arial" w:cs="Arial"/>
      <w:b/>
      <w:bCs/>
      <w:i/>
      <w:iCs/>
      <w:sz w:val="22"/>
      <w:szCs w:val="22"/>
    </w:rPr>
  </w:style>
  <w:style w:type="character" w:customStyle="1" w:styleId="80">
    <w:name w:val="Заголовок 8 Знак"/>
    <w:link w:val="8"/>
    <w:uiPriority w:val="9"/>
    <w:rPr>
      <w:rFonts w:ascii="Arial" w:eastAsia="Arial" w:hAnsi="Arial" w:cs="Arial"/>
      <w:i/>
      <w:iCs/>
      <w:sz w:val="22"/>
      <w:szCs w:val="22"/>
    </w:rPr>
  </w:style>
  <w:style w:type="character" w:customStyle="1" w:styleId="90">
    <w:name w:val="Заголовок 9 Знак"/>
    <w:link w:val="9"/>
    <w:uiPriority w:val="9"/>
    <w:rPr>
      <w:rFonts w:ascii="Arial" w:eastAsia="Arial" w:hAnsi="Arial" w:cs="Arial"/>
      <w:i/>
      <w:iCs/>
      <w:sz w:val="21"/>
      <w:szCs w:val="21"/>
    </w:rPr>
  </w:style>
  <w:style w:type="paragraph" w:styleId="a3">
    <w:name w:val="Title"/>
    <w:basedOn w:val="a"/>
    <w:next w:val="a"/>
    <w:link w:val="a4"/>
    <w:uiPriority w:val="10"/>
    <w:qFormat/>
    <w:pPr>
      <w:spacing w:before="300"/>
      <w:contextualSpacing/>
    </w:pPr>
    <w:rPr>
      <w:sz w:val="48"/>
      <w:szCs w:val="48"/>
    </w:rPr>
  </w:style>
  <w:style w:type="character" w:customStyle="1" w:styleId="a4">
    <w:name w:val="Название Знак"/>
    <w:link w:val="a3"/>
    <w:uiPriority w:val="10"/>
    <w:rPr>
      <w:sz w:val="48"/>
      <w:szCs w:val="48"/>
    </w:rPr>
  </w:style>
  <w:style w:type="paragraph" w:styleId="a5">
    <w:name w:val="Subtitle"/>
    <w:basedOn w:val="a"/>
    <w:next w:val="a"/>
    <w:link w:val="a6"/>
    <w:uiPriority w:val="11"/>
    <w:qFormat/>
    <w:pPr>
      <w:spacing w:before="200"/>
    </w:pPr>
    <w:rPr>
      <w:sz w:val="24"/>
      <w:szCs w:val="24"/>
    </w:rPr>
  </w:style>
  <w:style w:type="character" w:customStyle="1" w:styleId="a6">
    <w:name w:val="Подзаголовок Знак"/>
    <w:link w:val="a5"/>
    <w:uiPriority w:val="11"/>
    <w:rPr>
      <w:sz w:val="24"/>
      <w:szCs w:val="24"/>
    </w:rPr>
  </w:style>
  <w:style w:type="paragraph" w:styleId="21">
    <w:name w:val="Quote"/>
    <w:basedOn w:val="a"/>
    <w:next w:val="a"/>
    <w:link w:val="22"/>
    <w:uiPriority w:val="29"/>
    <w:qFormat/>
    <w:pPr>
      <w:ind w:left="720" w:right="720"/>
    </w:pPr>
    <w:rPr>
      <w:i/>
    </w:rPr>
  </w:style>
  <w:style w:type="character" w:customStyle="1" w:styleId="22">
    <w:name w:val="Цитата 2 Знак"/>
    <w:link w:val="21"/>
    <w:uiPriority w:val="29"/>
    <w:rPr>
      <w:i/>
    </w:rPr>
  </w:style>
  <w:style w:type="paragraph" w:styleId="a7">
    <w:name w:val="Intense Quote"/>
    <w:basedOn w:val="a"/>
    <w:next w:val="a"/>
    <w:link w:val="a8"/>
    <w:uiPriority w:val="30"/>
    <w:qFormat/>
    <w:pPr>
      <w:pBdr>
        <w:top w:val="single" w:sz="4" w:space="5" w:color="FFFFFF"/>
        <w:left w:val="single" w:sz="4" w:space="10" w:color="FFFFFF"/>
        <w:bottom w:val="single" w:sz="4" w:space="5" w:color="FFFFFF"/>
        <w:right w:val="single" w:sz="4" w:space="10" w:color="FFFFFF"/>
      </w:pBdr>
      <w:shd w:val="clear" w:color="auto" w:fill="F2F2F2"/>
      <w:ind w:left="720" w:right="720"/>
    </w:pPr>
    <w:rPr>
      <w:i/>
    </w:rPr>
  </w:style>
  <w:style w:type="character" w:customStyle="1" w:styleId="a8">
    <w:name w:val="Выделенная цитата Знак"/>
    <w:link w:val="a7"/>
    <w:uiPriority w:val="30"/>
    <w:rPr>
      <w:i/>
    </w:rPr>
  </w:style>
  <w:style w:type="paragraph" w:styleId="a9">
    <w:name w:val="header"/>
    <w:basedOn w:val="a"/>
    <w:link w:val="aa"/>
    <w:uiPriority w:val="99"/>
    <w:unhideWhenUsed/>
    <w:pPr>
      <w:tabs>
        <w:tab w:val="center" w:pos="7143"/>
        <w:tab w:val="right" w:pos="14287"/>
      </w:tabs>
      <w:spacing w:after="0" w:line="240" w:lineRule="auto"/>
    </w:pPr>
  </w:style>
  <w:style w:type="character" w:customStyle="1" w:styleId="aa">
    <w:name w:val="Верхний колонтитул Знак"/>
    <w:link w:val="a9"/>
    <w:uiPriority w:val="99"/>
  </w:style>
  <w:style w:type="paragraph" w:styleId="ab">
    <w:name w:val="footer"/>
    <w:basedOn w:val="a"/>
    <w:link w:val="ac"/>
    <w:uiPriority w:val="99"/>
    <w:unhideWhenUsed/>
    <w:pPr>
      <w:tabs>
        <w:tab w:val="center" w:pos="7143"/>
        <w:tab w:val="right" w:pos="14287"/>
      </w:tabs>
      <w:spacing w:after="0" w:line="240" w:lineRule="auto"/>
    </w:pPr>
  </w:style>
  <w:style w:type="character" w:customStyle="1" w:styleId="ac">
    <w:name w:val="Нижний колонтитул Знак"/>
    <w:link w:val="ab"/>
    <w:uiPriority w:val="99"/>
  </w:style>
  <w:style w:type="paragraph" w:styleId="ad">
    <w:name w:val="caption"/>
    <w:basedOn w:val="a"/>
    <w:next w:val="a"/>
    <w:link w:val="ae"/>
    <w:uiPriority w:val="35"/>
    <w:semiHidden/>
    <w:unhideWhenUsed/>
    <w:qFormat/>
    <w:rPr>
      <w:b/>
      <w:bCs/>
      <w:color w:val="5B9BD5" w:themeColor="accent1"/>
      <w:sz w:val="18"/>
      <w:szCs w:val="18"/>
    </w:rPr>
  </w:style>
  <w:style w:type="character" w:customStyle="1" w:styleId="ae">
    <w:name w:val="Название объекта Знак"/>
    <w:link w:val="ad"/>
    <w:uiPriority w:val="35"/>
    <w:rPr>
      <w:b/>
      <w:bCs/>
      <w:color w:val="5B9BD5" w:themeColor="accent1"/>
      <w:sz w:val="18"/>
      <w:szCs w:val="18"/>
    </w:rPr>
  </w:style>
  <w:style w:type="table" w:styleId="af">
    <w:name w:val="Table Grid"/>
    <w:basedOn w:val="a1"/>
    <w:uiPriority w:val="59"/>
    <w:pPr>
      <w:spacing w:after="0" w:line="240" w:lineRule="auto"/>
    </w:pPr>
    <w:tblP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0" w:type="dxa"/>
        <w:left w:w="108" w:type="dxa"/>
        <w:bottom w:w="0" w:type="dxa"/>
        <w:right w:w="108" w:type="dxa"/>
      </w:tblCellMar>
    </w:tblPr>
  </w:style>
  <w:style w:type="table" w:customStyle="1" w:styleId="TableGridLight">
    <w:name w:val="Table Grid Light"/>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style>
  <w:style w:type="table" w:customStyle="1" w:styleId="PlainTable1">
    <w:name w:val="Plain Table 1"/>
    <w:basedOn w:val="a1"/>
    <w:uiPriority w:val="59"/>
    <w:pPr>
      <w:spacing w:after="0" w:line="240" w:lineRule="auto"/>
    </w:pPr>
    <w:tblPr>
      <w:tblInd w:w="0" w:type="dxa"/>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CellMar>
        <w:top w:w="0" w:type="dxa"/>
        <w:left w:w="108" w:type="dxa"/>
        <w:bottom w:w="0" w:type="dxa"/>
        <w:right w:w="108" w:type="dxa"/>
      </w:tblCellMar>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customStyle="1" w:styleId="PlainTable2">
    <w:name w:val="Plain Table 2"/>
    <w:basedOn w:val="a1"/>
    <w:uiPriority w:val="59"/>
    <w:pPr>
      <w:spacing w:after="0" w:line="240" w:lineRule="auto"/>
    </w:pPr>
    <w:tblPr>
      <w:tblInd w:w="0" w:type="dxa"/>
      <w:tblBorders>
        <w:top w:val="single" w:sz="4" w:space="0" w:color="000000" w:themeColor="text1"/>
        <w:left w:val="none" w:sz="4" w:space="0" w:color="000000" w:themeColor="text1"/>
        <w:bottom w:val="single" w:sz="4" w:space="0" w:color="000000" w:themeColor="text1"/>
        <w:right w:val="none" w:sz="4" w:space="0" w:color="000000" w:themeColor="text1"/>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customStyle="1" w:styleId="PlainTable3">
    <w:name w:val="Plain Table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4">
    <w:name w:val="Plain Table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PlainTable5">
    <w:name w:val="Plain Table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customStyle="1" w:styleId="GridTable1Light">
    <w:name w:val="Grid Table 1 Light"/>
    <w:basedOn w:val="a1"/>
    <w:uiPriority w:val="99"/>
    <w:pPr>
      <w:spacing w:after="0" w:line="240" w:lineRule="auto"/>
    </w:pPr>
    <w:tblPr>
      <w:tblStyleRowBandSize w:val="1"/>
      <w:tblStyleColBandSize w:val="1"/>
      <w:tblInd w:w="0" w:type="dxa"/>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CellMar>
        <w:top w:w="0" w:type="dxa"/>
        <w:left w:w="108" w:type="dxa"/>
        <w:bottom w:w="0" w:type="dxa"/>
        <w:right w:w="108" w:type="dxa"/>
      </w:tblCellMar>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customStyle="1" w:styleId="GridTable2">
    <w:name w:val="Grid Table 2"/>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3">
    <w:name w:val="Grid Table 3"/>
    <w:basedOn w:val="a1"/>
    <w:uiPriority w:val="99"/>
    <w:pPr>
      <w:spacing w:after="0" w:line="240" w:lineRule="auto"/>
    </w:pPr>
    <w:tblPr>
      <w:tblStyleRowBandSize w:val="1"/>
      <w:tblStyleColBandSize w:val="1"/>
      <w:tblInd w:w="0" w:type="dxa"/>
      <w:tblBorders>
        <w:bottom w:val="single" w:sz="4" w:space="0" w:color="6A6A6A" w:themeColor="text1" w:themeTint="95"/>
        <w:insideH w:val="single" w:sz="4" w:space="0" w:color="6A6A6A" w:themeColor="text1" w:themeTint="95"/>
        <w:insideV w:val="single" w:sz="4" w:space="0" w:color="6A6A6A" w:themeColor="text1" w:themeTint="9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a1"/>
    <w:uiPriority w:val="99"/>
    <w:pPr>
      <w:spacing w:after="0" w:line="240" w:lineRule="auto"/>
    </w:pPr>
    <w:tblPr>
      <w:tblStyleRowBandSize w:val="1"/>
      <w:tblStyleColBandSize w:val="1"/>
      <w:tblInd w:w="0" w:type="dxa"/>
      <w:tblBorders>
        <w:bottom w:val="single" w:sz="4" w:space="0" w:color="68A2D8" w:themeColor="accent1" w:themeTint="EA"/>
        <w:insideH w:val="single" w:sz="4" w:space="0" w:color="68A2D8" w:themeColor="accent1" w:themeTint="EA"/>
        <w:insideV w:val="single" w:sz="4" w:space="0" w:color="68A2D8" w:themeColor="accent1" w:themeTint="E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a1"/>
    <w:uiPriority w:val="99"/>
    <w:pPr>
      <w:spacing w:after="0" w:line="240" w:lineRule="auto"/>
    </w:pPr>
    <w:tblPr>
      <w:tblStyleRowBandSize w:val="1"/>
      <w:tblStyleColBandSize w:val="1"/>
      <w:tblInd w:w="0" w:type="dxa"/>
      <w:tblBorders>
        <w:bottom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a1"/>
    <w:uiPriority w:val="99"/>
    <w:pPr>
      <w:spacing w:after="0" w:line="240" w:lineRule="auto"/>
    </w:pPr>
    <w:tblPr>
      <w:tblStyleRowBandSize w:val="1"/>
      <w:tblStyleColBandSize w:val="1"/>
      <w:tblInd w:w="0" w:type="dxa"/>
      <w:tblBorders>
        <w:bottom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a1"/>
    <w:uiPriority w:val="99"/>
    <w:pPr>
      <w:spacing w:after="0" w:line="240" w:lineRule="auto"/>
    </w:pPr>
    <w:tblPr>
      <w:tblStyleRowBandSize w:val="1"/>
      <w:tblStyleColBandSize w:val="1"/>
      <w:tblInd w:w="0" w:type="dxa"/>
      <w:tblBorders>
        <w:bottom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a1"/>
    <w:uiPriority w:val="99"/>
    <w:pPr>
      <w:spacing w:after="0" w:line="240" w:lineRule="auto"/>
    </w:pPr>
    <w:tblPr>
      <w:tblStyleRowBandSize w:val="1"/>
      <w:tblStyleColBandSize w:val="1"/>
      <w:tblInd w:w="0" w:type="dxa"/>
      <w:tblBorders>
        <w:bottom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a1"/>
    <w:uiPriority w:val="99"/>
    <w:pPr>
      <w:spacing w:after="0" w:line="240" w:lineRule="auto"/>
    </w:pPr>
    <w:tblPr>
      <w:tblStyleRowBandSize w:val="1"/>
      <w:tblStyleColBandSize w:val="1"/>
      <w:tblInd w:w="0" w:type="dxa"/>
      <w:tblBorders>
        <w:bottom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4">
    <w:name w:val="Grid Table 4"/>
    <w:basedOn w:val="a1"/>
    <w:uiPriority w:val="59"/>
    <w:pPr>
      <w:spacing w:after="0" w:line="240" w:lineRule="auto"/>
    </w:pPr>
    <w:tblPr>
      <w:tblStyleRowBandSize w:val="1"/>
      <w:tblStyleColBandSize w:val="1"/>
      <w:tblInd w:w="0" w:type="dxa"/>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a1"/>
    <w:uiPriority w:val="5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a1"/>
    <w:uiPriority w:val="5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a1"/>
    <w:uiPriority w:val="5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a1"/>
    <w:uiPriority w:val="5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a1"/>
    <w:uiPriority w:val="5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a1"/>
    <w:uiPriority w:val="5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customStyle="1" w:styleId="GridTable5Dark">
    <w:name w:val="Grid Table 5 Dark"/>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a1"/>
    <w:uiPriority w:val="99"/>
    <w:pPr>
      <w:spacing w:after="0" w:line="240" w:lineRule="auto"/>
    </w:pPr>
    <w:tblPr>
      <w:tblStyleRowBandSize w:val="1"/>
      <w:tblStyleColBandSize w:val="1"/>
      <w:tblInd w:w="0" w:type="dxa"/>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customStyle="1" w:styleId="GridTable6Colorful">
    <w:name w:val="Grid Table 6 Colorful"/>
    <w:basedOn w:val="a1"/>
    <w:uiPriority w:val="99"/>
    <w:pPr>
      <w:spacing w:after="0" w:line="240" w:lineRule="auto"/>
    </w:pPr>
    <w:tblPr>
      <w:tblStyleRowBandSize w:val="1"/>
      <w:tblStyleColBandSize w:val="1"/>
      <w:tblInd w:w="0" w:type="dxa"/>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a1"/>
    <w:uiPriority w:val="99"/>
    <w:pPr>
      <w:spacing w:after="0" w:line="240" w:lineRule="auto"/>
    </w:pPr>
    <w:tblPr>
      <w:tblStyleRowBandSize w:val="1"/>
      <w:tblStyleColBandSize w:val="1"/>
      <w:tblInd w:w="0" w:type="dxa"/>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a1"/>
    <w:uiPriority w:val="99"/>
    <w:pPr>
      <w:spacing w:after="0" w:line="240" w:lineRule="auto"/>
    </w:pPr>
    <w:tblPr>
      <w:tblStyleRowBandSize w:val="1"/>
      <w:tblStyleColBandSize w:val="1"/>
      <w:tblInd w:w="0" w:type="dxa"/>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a1"/>
    <w:uiPriority w:val="99"/>
    <w:pPr>
      <w:spacing w:after="0" w:line="240" w:lineRule="auto"/>
    </w:pPr>
    <w:tblPr>
      <w:tblStyleRowBandSize w:val="1"/>
      <w:tblStyleColBandSize w:val="1"/>
      <w:tblInd w:w="0" w:type="dxa"/>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CellMar>
        <w:top w:w="0" w:type="dxa"/>
        <w:left w:w="108" w:type="dxa"/>
        <w:bottom w:w="0" w:type="dxa"/>
        <w:right w:w="108" w:type="dxa"/>
      </w:tblCellMar>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a1"/>
    <w:uiPriority w:val="99"/>
    <w:pPr>
      <w:spacing w:after="0" w:line="240" w:lineRule="auto"/>
    </w:pPr>
    <w:tblPr>
      <w:tblStyleRowBandSize w:val="1"/>
      <w:tblStyleColBandSize w:val="1"/>
      <w:tblInd w:w="0" w:type="dxa"/>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CellMar>
        <w:top w:w="0" w:type="dxa"/>
        <w:left w:w="108" w:type="dxa"/>
        <w:bottom w:w="0" w:type="dxa"/>
        <w:right w:w="108" w:type="dxa"/>
      </w:tblCellMar>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customStyle="1" w:styleId="GridTable7Colorful">
    <w:name w:val="Grid Table 7 Colorful"/>
    <w:basedOn w:val="a1"/>
    <w:uiPriority w:val="99"/>
    <w:pPr>
      <w:spacing w:after="0" w:line="240" w:lineRule="auto"/>
    </w:pPr>
    <w:tblPr>
      <w:tblStyleRowBandSize w:val="1"/>
      <w:tblStyleColBandSize w:val="1"/>
      <w:tblInd w:w="0" w:type="dxa"/>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CellMar>
        <w:top w:w="0" w:type="dxa"/>
        <w:left w:w="108" w:type="dxa"/>
        <w:bottom w:w="0" w:type="dxa"/>
        <w:right w:w="108" w:type="dxa"/>
      </w:tblCellMar>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a1"/>
    <w:uiPriority w:val="99"/>
    <w:pPr>
      <w:spacing w:after="0" w:line="240" w:lineRule="auto"/>
    </w:pPr>
    <w:tblPr>
      <w:tblStyleRowBandSize w:val="1"/>
      <w:tblStyleColBandSize w:val="1"/>
      <w:tblInd w:w="0" w:type="dxa"/>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CellMar>
        <w:top w:w="0" w:type="dxa"/>
        <w:left w:w="108" w:type="dxa"/>
        <w:bottom w:w="0" w:type="dxa"/>
        <w:right w:w="108" w:type="dxa"/>
      </w:tblCellMar>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a1"/>
    <w:uiPriority w:val="99"/>
    <w:pPr>
      <w:spacing w:after="0" w:line="240" w:lineRule="auto"/>
    </w:pPr>
    <w:tblPr>
      <w:tblStyleRowBandSize w:val="1"/>
      <w:tblStyleColBandSize w:val="1"/>
      <w:tblInd w:w="0" w:type="dxa"/>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CellMar>
        <w:top w:w="0" w:type="dxa"/>
        <w:left w:w="108" w:type="dxa"/>
        <w:bottom w:w="0" w:type="dxa"/>
        <w:right w:w="108" w:type="dxa"/>
      </w:tblCellMar>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a1"/>
    <w:uiPriority w:val="99"/>
    <w:pPr>
      <w:spacing w:after="0" w:line="240" w:lineRule="auto"/>
    </w:pPr>
    <w:tblPr>
      <w:tblStyleRowBandSize w:val="1"/>
      <w:tblStyleColBandSize w:val="1"/>
      <w:tblInd w:w="0" w:type="dxa"/>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CellMar>
        <w:top w:w="0" w:type="dxa"/>
        <w:left w:w="108" w:type="dxa"/>
        <w:bottom w:w="0" w:type="dxa"/>
        <w:right w:w="108" w:type="dxa"/>
      </w:tblCellMar>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a1"/>
    <w:uiPriority w:val="99"/>
    <w:pPr>
      <w:spacing w:after="0" w:line="240" w:lineRule="auto"/>
    </w:pPr>
    <w:tblPr>
      <w:tblStyleRowBandSize w:val="1"/>
      <w:tblStyleColBandSize w:val="1"/>
      <w:tblInd w:w="0" w:type="dxa"/>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CellMar>
        <w:top w:w="0" w:type="dxa"/>
        <w:left w:w="108" w:type="dxa"/>
        <w:bottom w:w="0" w:type="dxa"/>
        <w:right w:w="108" w:type="dxa"/>
      </w:tblCellMar>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a1"/>
    <w:uiPriority w:val="99"/>
    <w:pPr>
      <w:spacing w:after="0" w:line="240" w:lineRule="auto"/>
    </w:pPr>
    <w:tblPr>
      <w:tblStyleRowBandSize w:val="1"/>
      <w:tblStyleColBandSize w:val="1"/>
      <w:tblInd w:w="0" w:type="dxa"/>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CellMar>
        <w:top w:w="0" w:type="dxa"/>
        <w:left w:w="108" w:type="dxa"/>
        <w:bottom w:w="0" w:type="dxa"/>
        <w:right w:w="108" w:type="dxa"/>
      </w:tblCellMar>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a1"/>
    <w:uiPriority w:val="99"/>
    <w:pPr>
      <w:spacing w:after="0" w:line="240" w:lineRule="auto"/>
    </w:pPr>
    <w:tblPr>
      <w:tblStyleRowBandSize w:val="1"/>
      <w:tblStyleColBandSize w:val="1"/>
      <w:tblInd w:w="0" w:type="dxa"/>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CellMar>
        <w:top w:w="0" w:type="dxa"/>
        <w:left w:w="108" w:type="dxa"/>
        <w:bottom w:w="0" w:type="dxa"/>
        <w:right w:w="108" w:type="dxa"/>
      </w:tblCellMar>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customStyle="1" w:styleId="ListTable1Light">
    <w:name w:val="List Table 1 Light"/>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a1"/>
    <w:uiPriority w:val="99"/>
    <w:pPr>
      <w:spacing w:after="0" w:line="240" w:lineRule="auto"/>
    </w:pPr>
    <w:tblPr>
      <w:tblStyleRowBandSize w:val="1"/>
      <w:tblStyleColBandSize w:val="1"/>
      <w:tblInd w:w="0" w:type="dxa"/>
      <w:tblCellMar>
        <w:top w:w="0" w:type="dxa"/>
        <w:left w:w="108" w:type="dxa"/>
        <w:bottom w:w="0" w:type="dxa"/>
        <w:right w:w="108" w:type="dxa"/>
      </w:tblCellMar>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customStyle="1" w:styleId="ListTable2">
    <w:name w:val="List Table 2"/>
    <w:basedOn w:val="a1"/>
    <w:uiPriority w:val="99"/>
    <w:pPr>
      <w:spacing w:after="0" w:line="240" w:lineRule="auto"/>
    </w:pPr>
    <w:tblPr>
      <w:tblStyleRowBandSize w:val="1"/>
      <w:tblStyleColBandSize w:val="1"/>
      <w:tblInd w:w="0" w:type="dxa"/>
      <w:tblBorders>
        <w:top w:val="single" w:sz="4" w:space="0" w:color="6F6F6F" w:themeColor="text1" w:themeTint="90"/>
        <w:bottom w:val="single" w:sz="4" w:space="0" w:color="6F6F6F" w:themeColor="text1" w:themeTint="90"/>
        <w:insideH w:val="single" w:sz="4" w:space="0" w:color="6F6F6F" w:themeColor="tex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a1"/>
    <w:uiPriority w:val="99"/>
    <w:pPr>
      <w:spacing w:after="0" w:line="240" w:lineRule="auto"/>
    </w:pPr>
    <w:tblPr>
      <w:tblStyleRowBandSize w:val="1"/>
      <w:tblStyleColBandSize w:val="1"/>
      <w:tblInd w:w="0" w:type="dxa"/>
      <w:tblBorders>
        <w:top w:val="single" w:sz="4" w:space="0" w:color="A2C6E7" w:themeColor="accent1" w:themeTint="90"/>
        <w:bottom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a1"/>
    <w:uiPriority w:val="99"/>
    <w:pPr>
      <w:spacing w:after="0" w:line="240" w:lineRule="auto"/>
    </w:pPr>
    <w:tblPr>
      <w:tblStyleRowBandSize w:val="1"/>
      <w:tblStyleColBandSize w:val="1"/>
      <w:tblInd w:w="0" w:type="dxa"/>
      <w:tblBorders>
        <w:top w:val="single" w:sz="4" w:space="0" w:color="F4B58A" w:themeColor="accent2" w:themeTint="90"/>
        <w:bottom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a1"/>
    <w:uiPriority w:val="99"/>
    <w:pPr>
      <w:spacing w:after="0" w:line="240" w:lineRule="auto"/>
    </w:pPr>
    <w:tblPr>
      <w:tblStyleRowBandSize w:val="1"/>
      <w:tblStyleColBandSize w:val="1"/>
      <w:tblInd w:w="0" w:type="dxa"/>
      <w:tblBorders>
        <w:top w:val="single" w:sz="4" w:space="0" w:color="CCCCCC" w:themeColor="accent3" w:themeTint="90"/>
        <w:bottom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a1"/>
    <w:uiPriority w:val="99"/>
    <w:pPr>
      <w:spacing w:after="0" w:line="240" w:lineRule="auto"/>
    </w:pPr>
    <w:tblPr>
      <w:tblStyleRowBandSize w:val="1"/>
      <w:tblStyleColBandSize w:val="1"/>
      <w:tblInd w:w="0" w:type="dxa"/>
      <w:tblBorders>
        <w:top w:val="single" w:sz="4" w:space="0" w:color="FFDB6F" w:themeColor="accent4" w:themeTint="90"/>
        <w:bottom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a1"/>
    <w:uiPriority w:val="99"/>
    <w:pPr>
      <w:spacing w:after="0" w:line="240" w:lineRule="auto"/>
    </w:pPr>
    <w:tblPr>
      <w:tblStyleRowBandSize w:val="1"/>
      <w:tblStyleColBandSize w:val="1"/>
      <w:tblInd w:w="0" w:type="dxa"/>
      <w:tblBorders>
        <w:top w:val="single" w:sz="4" w:space="0" w:color="95AFDD" w:themeColor="accent5" w:themeTint="90"/>
        <w:bottom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a1"/>
    <w:uiPriority w:val="99"/>
    <w:pPr>
      <w:spacing w:after="0" w:line="240" w:lineRule="auto"/>
    </w:pPr>
    <w:tblPr>
      <w:tblStyleRowBandSize w:val="1"/>
      <w:tblStyleColBandSize w:val="1"/>
      <w:tblInd w:w="0" w:type="dxa"/>
      <w:tblBorders>
        <w:top w:val="single" w:sz="4" w:space="0" w:color="ADD394" w:themeColor="accent6" w:themeTint="90"/>
        <w:bottom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3">
    <w:name w:val="List Table 3"/>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a1"/>
    <w:uiPriority w:val="99"/>
    <w:pPr>
      <w:spacing w:after="0" w:line="240" w:lineRule="auto"/>
    </w:pPr>
    <w:tblPr>
      <w:tblStyleRowBandSize w:val="1"/>
      <w:tblStyleColBandSize w:val="1"/>
      <w:tblInd w:w="0" w:type="dxa"/>
      <w:tblBorders>
        <w:top w:val="single" w:sz="4" w:space="0" w:color="5B9BD5" w:themeColor="accent1"/>
        <w:left w:val="single" w:sz="4" w:space="0" w:color="5B9BD5" w:themeColor="accent1"/>
        <w:bottom w:val="single" w:sz="4" w:space="0" w:color="5B9BD5" w:themeColor="accent1"/>
        <w:right w:val="single" w:sz="4" w:space="0" w:color="5B9BD5" w:themeColor="accent1"/>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a1"/>
    <w:uiPriority w:val="99"/>
    <w:pPr>
      <w:spacing w:after="0" w:line="240" w:lineRule="auto"/>
    </w:pPr>
    <w:tblPr>
      <w:tblStyleRowBandSize w:val="1"/>
      <w:tblStyleColBandSize w:val="1"/>
      <w:tblInd w:w="0" w:type="dxa"/>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CellMar>
        <w:top w:w="0" w:type="dxa"/>
        <w:left w:w="108" w:type="dxa"/>
        <w:bottom w:w="0" w:type="dxa"/>
        <w:right w:w="108" w:type="dxa"/>
      </w:tblCellMar>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a1"/>
    <w:uiPriority w:val="99"/>
    <w:pPr>
      <w:spacing w:after="0" w:line="240" w:lineRule="auto"/>
    </w:pPr>
    <w:tblPr>
      <w:tblStyleRowBandSize w:val="1"/>
      <w:tblStyleColBandSize w:val="1"/>
      <w:tblInd w:w="0" w:type="dxa"/>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CellMar>
        <w:top w:w="0" w:type="dxa"/>
        <w:left w:w="108" w:type="dxa"/>
        <w:bottom w:w="0" w:type="dxa"/>
        <w:right w:w="108" w:type="dxa"/>
      </w:tblCellMar>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a1"/>
    <w:uiPriority w:val="99"/>
    <w:pPr>
      <w:spacing w:after="0" w:line="240" w:lineRule="auto"/>
    </w:pPr>
    <w:tblPr>
      <w:tblStyleRowBandSize w:val="1"/>
      <w:tblStyleColBandSize w:val="1"/>
      <w:tblInd w:w="0" w:type="dxa"/>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CellMar>
        <w:top w:w="0" w:type="dxa"/>
        <w:left w:w="108" w:type="dxa"/>
        <w:bottom w:w="0" w:type="dxa"/>
        <w:right w:w="108" w:type="dxa"/>
      </w:tblCellMar>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a1"/>
    <w:uiPriority w:val="99"/>
    <w:pPr>
      <w:spacing w:after="0" w:line="240" w:lineRule="auto"/>
    </w:pPr>
    <w:tblPr>
      <w:tblStyleRowBandSize w:val="1"/>
      <w:tblStyleColBandSize w:val="1"/>
      <w:tblInd w:w="0" w:type="dxa"/>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CellMar>
        <w:top w:w="0" w:type="dxa"/>
        <w:left w:w="108" w:type="dxa"/>
        <w:bottom w:w="0" w:type="dxa"/>
        <w:right w:w="108" w:type="dxa"/>
      </w:tblCellMar>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a1"/>
    <w:uiPriority w:val="99"/>
    <w:pPr>
      <w:spacing w:after="0" w:line="240" w:lineRule="auto"/>
    </w:pPr>
    <w:tblPr>
      <w:tblStyleRowBandSize w:val="1"/>
      <w:tblStyleColBandSize w:val="1"/>
      <w:tblInd w:w="0" w:type="dxa"/>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CellMar>
        <w:top w:w="0" w:type="dxa"/>
        <w:left w:w="108" w:type="dxa"/>
        <w:bottom w:w="0" w:type="dxa"/>
        <w:right w:w="108" w:type="dxa"/>
      </w:tblCellMar>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customStyle="1" w:styleId="ListTable4">
    <w:name w:val="List Table 4"/>
    <w:basedOn w:val="a1"/>
    <w:uiPriority w:val="99"/>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CellMar>
        <w:top w:w="0" w:type="dxa"/>
        <w:left w:w="108" w:type="dxa"/>
        <w:bottom w:w="0" w:type="dxa"/>
        <w:right w:w="108" w:type="dxa"/>
      </w:tblCellMar>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a1"/>
    <w:uiPriority w:val="99"/>
    <w:pPr>
      <w:spacing w:after="0" w:line="240" w:lineRule="auto"/>
    </w:pPr>
    <w:tblPr>
      <w:tblStyleRowBandSize w:val="1"/>
      <w:tblStyleColBandSize w:val="1"/>
      <w:tblInd w:w="0" w:type="dxa"/>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CellMar>
        <w:top w:w="0" w:type="dxa"/>
        <w:left w:w="108" w:type="dxa"/>
        <w:bottom w:w="0" w:type="dxa"/>
        <w:right w:w="108" w:type="dxa"/>
      </w:tblCellMar>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a1"/>
    <w:uiPriority w:val="99"/>
    <w:pPr>
      <w:spacing w:after="0" w:line="240" w:lineRule="auto"/>
    </w:pPr>
    <w:tblPr>
      <w:tblStyleRowBandSize w:val="1"/>
      <w:tblStyleColBandSize w:val="1"/>
      <w:tblInd w:w="0" w:type="dxa"/>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CellMar>
        <w:top w:w="0" w:type="dxa"/>
        <w:left w:w="108" w:type="dxa"/>
        <w:bottom w:w="0" w:type="dxa"/>
        <w:right w:w="108" w:type="dxa"/>
      </w:tblCellMar>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a1"/>
    <w:uiPriority w:val="99"/>
    <w:pPr>
      <w:spacing w:after="0" w:line="240" w:lineRule="auto"/>
    </w:pPr>
    <w:tblPr>
      <w:tblStyleRowBandSize w:val="1"/>
      <w:tblStyleColBandSize w:val="1"/>
      <w:tblInd w:w="0" w:type="dxa"/>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CellMar>
        <w:top w:w="0" w:type="dxa"/>
        <w:left w:w="108" w:type="dxa"/>
        <w:bottom w:w="0" w:type="dxa"/>
        <w:right w:w="108" w:type="dxa"/>
      </w:tblCellMar>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a1"/>
    <w:uiPriority w:val="99"/>
    <w:pPr>
      <w:spacing w:after="0" w:line="240" w:lineRule="auto"/>
    </w:pPr>
    <w:tblPr>
      <w:tblStyleRowBandSize w:val="1"/>
      <w:tblStyleColBandSize w:val="1"/>
      <w:tblInd w:w="0" w:type="dxa"/>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CellMar>
        <w:top w:w="0" w:type="dxa"/>
        <w:left w:w="108" w:type="dxa"/>
        <w:bottom w:w="0" w:type="dxa"/>
        <w:right w:w="108" w:type="dxa"/>
      </w:tblCellMar>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a1"/>
    <w:uiPriority w:val="99"/>
    <w:pPr>
      <w:spacing w:after="0" w:line="240" w:lineRule="auto"/>
    </w:pPr>
    <w:tblPr>
      <w:tblStyleRowBandSize w:val="1"/>
      <w:tblStyleColBandSize w:val="1"/>
      <w:tblInd w:w="0" w:type="dxa"/>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CellMar>
        <w:top w:w="0" w:type="dxa"/>
        <w:left w:w="108" w:type="dxa"/>
        <w:bottom w:w="0" w:type="dxa"/>
        <w:right w:w="108" w:type="dxa"/>
      </w:tblCellMar>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a1"/>
    <w:uiPriority w:val="99"/>
    <w:pPr>
      <w:spacing w:after="0" w:line="240" w:lineRule="auto"/>
    </w:pPr>
    <w:tblPr>
      <w:tblStyleRowBandSize w:val="1"/>
      <w:tblStyleColBandSize w:val="1"/>
      <w:tblInd w:w="0" w:type="dxa"/>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CellMar>
        <w:top w:w="0" w:type="dxa"/>
        <w:left w:w="108" w:type="dxa"/>
        <w:bottom w:w="0" w:type="dxa"/>
        <w:right w:w="108" w:type="dxa"/>
      </w:tblCellMar>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customStyle="1" w:styleId="ListTable5Dark">
    <w:name w:val="List Table 5 Dark"/>
    <w:basedOn w:val="a1"/>
    <w:uiPriority w:val="99"/>
    <w:pPr>
      <w:spacing w:after="0" w:line="240" w:lineRule="auto"/>
    </w:pPr>
    <w:tblPr>
      <w:tblStyleRowBandSize w:val="1"/>
      <w:tblStyleColBandSize w:val="1"/>
      <w:tblInd w:w="0" w:type="dxa"/>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a1"/>
    <w:uiPriority w:val="99"/>
    <w:pPr>
      <w:spacing w:after="0" w:line="240" w:lineRule="auto"/>
    </w:pPr>
    <w:tblPr>
      <w:tblStyleRowBandSize w:val="1"/>
      <w:tblStyleColBandSize w:val="1"/>
      <w:tblInd w:w="0" w:type="dxa"/>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a1"/>
    <w:uiPriority w:val="99"/>
    <w:pPr>
      <w:spacing w:after="0" w:line="240" w:lineRule="auto"/>
    </w:pPr>
    <w:tblPr>
      <w:tblStyleRowBandSize w:val="1"/>
      <w:tblStyleColBandSize w:val="1"/>
      <w:tblInd w:w="0" w:type="dxa"/>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a1"/>
    <w:uiPriority w:val="99"/>
    <w:pPr>
      <w:spacing w:after="0" w:line="240" w:lineRule="auto"/>
    </w:pPr>
    <w:tblPr>
      <w:tblStyleRowBandSize w:val="1"/>
      <w:tblStyleColBandSize w:val="1"/>
      <w:tblInd w:w="0" w:type="dxa"/>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a1"/>
    <w:uiPriority w:val="99"/>
    <w:pPr>
      <w:spacing w:after="0" w:line="240" w:lineRule="auto"/>
    </w:pPr>
    <w:tblPr>
      <w:tblStyleRowBandSize w:val="1"/>
      <w:tblStyleColBandSize w:val="1"/>
      <w:tblInd w:w="0" w:type="dxa"/>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a1"/>
    <w:uiPriority w:val="99"/>
    <w:pPr>
      <w:spacing w:after="0" w:line="240" w:lineRule="auto"/>
    </w:pPr>
    <w:tblPr>
      <w:tblStyleRowBandSize w:val="1"/>
      <w:tblStyleColBandSize w:val="1"/>
      <w:tblInd w:w="0" w:type="dxa"/>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a1"/>
    <w:uiPriority w:val="99"/>
    <w:pPr>
      <w:spacing w:after="0" w:line="240" w:lineRule="auto"/>
    </w:pPr>
    <w:tblPr>
      <w:tblStyleRowBandSize w:val="1"/>
      <w:tblStyleColBandSize w:val="1"/>
      <w:tblInd w:w="0" w:type="dxa"/>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CellMar>
        <w:top w:w="0" w:type="dxa"/>
        <w:left w:w="108" w:type="dxa"/>
        <w:bottom w:w="0" w:type="dxa"/>
        <w:right w:w="108" w:type="dxa"/>
      </w:tblCellMar>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customStyle="1" w:styleId="ListTable6Colorful">
    <w:name w:val="List Table 6 Colorful"/>
    <w:basedOn w:val="a1"/>
    <w:uiPriority w:val="99"/>
    <w:pPr>
      <w:spacing w:after="0" w:line="240" w:lineRule="auto"/>
    </w:pPr>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a1"/>
    <w:uiPriority w:val="99"/>
    <w:pPr>
      <w:spacing w:after="0" w:line="240" w:lineRule="auto"/>
    </w:pPr>
    <w:tblPr>
      <w:tblStyleRowBandSize w:val="1"/>
      <w:tblStyleColBandSize w:val="1"/>
      <w:tblInd w:w="0" w:type="dxa"/>
      <w:tblBorders>
        <w:top w:val="single" w:sz="4" w:space="0" w:color="5B9BD5" w:themeColor="accent1"/>
        <w:bottom w:val="single" w:sz="4" w:space="0" w:color="5B9BD5" w:themeColor="accent1"/>
      </w:tblBorders>
      <w:tblCellMar>
        <w:top w:w="0" w:type="dxa"/>
        <w:left w:w="108" w:type="dxa"/>
        <w:bottom w:w="0" w:type="dxa"/>
        <w:right w:w="108" w:type="dxa"/>
      </w:tblCellMar>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a1"/>
    <w:uiPriority w:val="99"/>
    <w:pPr>
      <w:spacing w:after="0" w:line="240" w:lineRule="auto"/>
    </w:pPr>
    <w:tblPr>
      <w:tblStyleRowBandSize w:val="1"/>
      <w:tblStyleColBandSize w:val="1"/>
      <w:tblInd w:w="0" w:type="dxa"/>
      <w:tblBorders>
        <w:top w:val="single" w:sz="4" w:space="0" w:color="F4B184" w:themeColor="accent2" w:themeTint="97"/>
        <w:bottom w:val="single" w:sz="4" w:space="0" w:color="F4B184" w:themeColor="accent2" w:themeTint="97"/>
      </w:tblBorders>
      <w:tblCellMar>
        <w:top w:w="0" w:type="dxa"/>
        <w:left w:w="108" w:type="dxa"/>
        <w:bottom w:w="0" w:type="dxa"/>
        <w:right w:w="108" w:type="dxa"/>
      </w:tblCellMar>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a1"/>
    <w:uiPriority w:val="99"/>
    <w:pPr>
      <w:spacing w:after="0" w:line="240" w:lineRule="auto"/>
    </w:pPr>
    <w:tblPr>
      <w:tblStyleRowBandSize w:val="1"/>
      <w:tblStyleColBandSize w:val="1"/>
      <w:tblInd w:w="0" w:type="dxa"/>
      <w:tblBorders>
        <w:top w:val="single" w:sz="4" w:space="0" w:color="C9C9C9" w:themeColor="accent3" w:themeTint="98"/>
        <w:bottom w:val="single" w:sz="4" w:space="0" w:color="C9C9C9" w:themeColor="accent3" w:themeTint="98"/>
      </w:tblBorders>
      <w:tblCellMar>
        <w:top w:w="0" w:type="dxa"/>
        <w:left w:w="108" w:type="dxa"/>
        <w:bottom w:w="0" w:type="dxa"/>
        <w:right w:w="108" w:type="dxa"/>
      </w:tblCellMar>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a1"/>
    <w:uiPriority w:val="99"/>
    <w:pPr>
      <w:spacing w:after="0" w:line="240" w:lineRule="auto"/>
    </w:pPr>
    <w:tblPr>
      <w:tblStyleRowBandSize w:val="1"/>
      <w:tblStyleColBandSize w:val="1"/>
      <w:tblInd w:w="0" w:type="dxa"/>
      <w:tblBorders>
        <w:top w:val="single" w:sz="4" w:space="0" w:color="FFD865" w:themeColor="accent4" w:themeTint="9A"/>
        <w:bottom w:val="single" w:sz="4" w:space="0" w:color="FFD865" w:themeColor="accent4" w:themeTint="9A"/>
      </w:tblBorders>
      <w:tblCellMar>
        <w:top w:w="0" w:type="dxa"/>
        <w:left w:w="108" w:type="dxa"/>
        <w:bottom w:w="0" w:type="dxa"/>
        <w:right w:w="108" w:type="dxa"/>
      </w:tblCellMar>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a1"/>
    <w:uiPriority w:val="99"/>
    <w:pPr>
      <w:spacing w:after="0" w:line="240" w:lineRule="auto"/>
    </w:pPr>
    <w:tblPr>
      <w:tblStyleRowBandSize w:val="1"/>
      <w:tblStyleColBandSize w:val="1"/>
      <w:tblInd w:w="0" w:type="dxa"/>
      <w:tblBorders>
        <w:top w:val="single" w:sz="4" w:space="0" w:color="8DA9DB" w:themeColor="accent5" w:themeTint="9A"/>
        <w:bottom w:val="single" w:sz="4" w:space="0" w:color="8DA9DB" w:themeColor="accent5" w:themeTint="9A"/>
      </w:tblBorders>
      <w:tblCellMar>
        <w:top w:w="0" w:type="dxa"/>
        <w:left w:w="108" w:type="dxa"/>
        <w:bottom w:w="0" w:type="dxa"/>
        <w:right w:w="108" w:type="dxa"/>
      </w:tblCellMar>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a1"/>
    <w:uiPriority w:val="99"/>
    <w:pPr>
      <w:spacing w:after="0" w:line="240" w:lineRule="auto"/>
    </w:pPr>
    <w:tblPr>
      <w:tblStyleRowBandSize w:val="1"/>
      <w:tblStyleColBandSize w:val="1"/>
      <w:tblInd w:w="0" w:type="dxa"/>
      <w:tblBorders>
        <w:top w:val="single" w:sz="4" w:space="0" w:color="A9D08E" w:themeColor="accent6" w:themeTint="98"/>
        <w:bottom w:val="single" w:sz="4" w:space="0" w:color="A9D08E" w:themeColor="accent6" w:themeTint="98"/>
      </w:tblBorders>
      <w:tblCellMar>
        <w:top w:w="0" w:type="dxa"/>
        <w:left w:w="108" w:type="dxa"/>
        <w:bottom w:w="0" w:type="dxa"/>
        <w:right w:w="108" w:type="dxa"/>
      </w:tblCellMar>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stTable7Colorful">
    <w:name w:val="List Table 7 Colorful"/>
    <w:basedOn w:val="a1"/>
    <w:uiPriority w:val="99"/>
    <w:pPr>
      <w:spacing w:after="0" w:line="240" w:lineRule="auto"/>
    </w:pPr>
    <w:tblPr>
      <w:tblStyleRowBandSize w:val="1"/>
      <w:tblStyleColBandSize w:val="1"/>
      <w:tblInd w:w="0" w:type="dxa"/>
      <w:tblBorders>
        <w:right w:val="single" w:sz="4" w:space="0" w:color="7F7F7F" w:themeColor="text1" w:themeTint="80"/>
      </w:tblBorders>
      <w:tblCellMar>
        <w:top w:w="0" w:type="dxa"/>
        <w:left w:w="108" w:type="dxa"/>
        <w:bottom w:w="0" w:type="dxa"/>
        <w:right w:w="108" w:type="dxa"/>
      </w:tblCellMar>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a1"/>
    <w:uiPriority w:val="99"/>
    <w:pPr>
      <w:spacing w:after="0" w:line="240" w:lineRule="auto"/>
    </w:pPr>
    <w:tblPr>
      <w:tblStyleRowBandSize w:val="1"/>
      <w:tblStyleColBandSize w:val="1"/>
      <w:tblInd w:w="0" w:type="dxa"/>
      <w:tblBorders>
        <w:right w:val="single" w:sz="4" w:space="0" w:color="5B9BD5" w:themeColor="accent1"/>
      </w:tblBorders>
      <w:tblCellMar>
        <w:top w:w="0" w:type="dxa"/>
        <w:left w:w="108" w:type="dxa"/>
        <w:bottom w:w="0" w:type="dxa"/>
        <w:right w:w="108" w:type="dxa"/>
      </w:tblCellMar>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a1"/>
    <w:uiPriority w:val="99"/>
    <w:pPr>
      <w:spacing w:after="0" w:line="240" w:lineRule="auto"/>
    </w:pPr>
    <w:tblPr>
      <w:tblStyleRowBandSize w:val="1"/>
      <w:tblStyleColBandSize w:val="1"/>
      <w:tblInd w:w="0" w:type="dxa"/>
      <w:tblBorders>
        <w:right w:val="single" w:sz="4" w:space="0" w:color="F4B184" w:themeColor="accent2" w:themeTint="97"/>
      </w:tblBorders>
      <w:tblCellMar>
        <w:top w:w="0" w:type="dxa"/>
        <w:left w:w="108" w:type="dxa"/>
        <w:bottom w:w="0" w:type="dxa"/>
        <w:right w:w="108" w:type="dxa"/>
      </w:tblCellMar>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a1"/>
    <w:uiPriority w:val="99"/>
    <w:pPr>
      <w:spacing w:after="0" w:line="240" w:lineRule="auto"/>
    </w:pPr>
    <w:tblPr>
      <w:tblStyleRowBandSize w:val="1"/>
      <w:tblStyleColBandSize w:val="1"/>
      <w:tblInd w:w="0" w:type="dxa"/>
      <w:tblBorders>
        <w:right w:val="single" w:sz="4" w:space="0" w:color="C9C9C9" w:themeColor="accent3" w:themeTint="98"/>
      </w:tblBorders>
      <w:tblCellMar>
        <w:top w:w="0" w:type="dxa"/>
        <w:left w:w="108" w:type="dxa"/>
        <w:bottom w:w="0" w:type="dxa"/>
        <w:right w:w="108" w:type="dxa"/>
      </w:tblCellMar>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a1"/>
    <w:uiPriority w:val="99"/>
    <w:pPr>
      <w:spacing w:after="0" w:line="240" w:lineRule="auto"/>
    </w:pPr>
    <w:tblPr>
      <w:tblStyleRowBandSize w:val="1"/>
      <w:tblStyleColBandSize w:val="1"/>
      <w:tblInd w:w="0" w:type="dxa"/>
      <w:tblBorders>
        <w:right w:val="single" w:sz="4" w:space="0" w:color="FFD865" w:themeColor="accent4" w:themeTint="9A"/>
      </w:tblBorders>
      <w:tblCellMar>
        <w:top w:w="0" w:type="dxa"/>
        <w:left w:w="108" w:type="dxa"/>
        <w:bottom w:w="0" w:type="dxa"/>
        <w:right w:w="108" w:type="dxa"/>
      </w:tblCellMar>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a1"/>
    <w:uiPriority w:val="99"/>
    <w:pPr>
      <w:spacing w:after="0" w:line="240" w:lineRule="auto"/>
    </w:pPr>
    <w:tblPr>
      <w:tblStyleRowBandSize w:val="1"/>
      <w:tblStyleColBandSize w:val="1"/>
      <w:tblInd w:w="0" w:type="dxa"/>
      <w:tblBorders>
        <w:right w:val="single" w:sz="4" w:space="0" w:color="8DA9DB" w:themeColor="accent5" w:themeTint="9A"/>
      </w:tblBorders>
      <w:tblCellMar>
        <w:top w:w="0" w:type="dxa"/>
        <w:left w:w="108" w:type="dxa"/>
        <w:bottom w:w="0" w:type="dxa"/>
        <w:right w:w="108" w:type="dxa"/>
      </w:tblCellMar>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a1"/>
    <w:uiPriority w:val="99"/>
    <w:pPr>
      <w:spacing w:after="0" w:line="240" w:lineRule="auto"/>
    </w:pPr>
    <w:tblPr>
      <w:tblStyleRowBandSize w:val="1"/>
      <w:tblStyleColBandSize w:val="1"/>
      <w:tblInd w:w="0" w:type="dxa"/>
      <w:tblBorders>
        <w:right w:val="single" w:sz="4" w:space="0" w:color="A9D08E" w:themeColor="accent6" w:themeTint="98"/>
      </w:tblBorders>
      <w:tblCellMar>
        <w:top w:w="0" w:type="dxa"/>
        <w:left w:w="108" w:type="dxa"/>
        <w:bottom w:w="0" w:type="dxa"/>
        <w:right w:w="108" w:type="dxa"/>
      </w:tblCellMar>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a1"/>
    <w:uiPriority w:val="99"/>
    <w:pPr>
      <w:spacing w:after="0" w:line="240" w:lineRule="auto"/>
    </w:pPr>
    <w:rPr>
      <w:color w:val="404040"/>
      <w:sz w:val="20"/>
      <w:szCs w:val="20"/>
      <w:lang w:eastAsia="ru-RU"/>
    </w:rPr>
    <w:tblPr>
      <w:tblStyleRowBandSize w:val="1"/>
      <w:tblStyleColBandSize w:val="1"/>
      <w:tblInd w:w="0" w:type="dxa"/>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CellMar>
        <w:top w:w="0" w:type="dxa"/>
        <w:left w:w="108" w:type="dxa"/>
        <w:bottom w:w="0" w:type="dxa"/>
        <w:right w:w="108" w:type="dxa"/>
      </w:tblCellMar>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CellMar>
        <w:top w:w="0" w:type="dxa"/>
        <w:left w:w="108" w:type="dxa"/>
        <w:bottom w:w="0" w:type="dxa"/>
        <w:right w:w="108" w:type="dxa"/>
      </w:tblCellMar>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CellMar>
        <w:top w:w="0" w:type="dxa"/>
        <w:left w:w="108" w:type="dxa"/>
        <w:bottom w:w="0" w:type="dxa"/>
        <w:right w:w="108" w:type="dxa"/>
      </w:tblCellMar>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CellMar>
        <w:top w:w="0" w:type="dxa"/>
        <w:left w:w="108" w:type="dxa"/>
        <w:bottom w:w="0" w:type="dxa"/>
        <w:right w:w="108" w:type="dxa"/>
      </w:tblCellMar>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CellMar>
        <w:top w:w="0" w:type="dxa"/>
        <w:left w:w="108" w:type="dxa"/>
        <w:bottom w:w="0" w:type="dxa"/>
        <w:right w:w="108" w:type="dxa"/>
      </w:tblCellMar>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CellMar>
        <w:top w:w="0" w:type="dxa"/>
        <w:left w:w="108" w:type="dxa"/>
        <w:bottom w:w="0" w:type="dxa"/>
        <w:right w:w="108" w:type="dxa"/>
      </w:tblCellMar>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a1"/>
    <w:uiPriority w:val="99"/>
    <w:pPr>
      <w:spacing w:after="0" w:line="240" w:lineRule="auto"/>
    </w:pPr>
    <w:rPr>
      <w:color w:val="404040"/>
      <w:sz w:val="20"/>
      <w:szCs w:val="20"/>
      <w:lang w:eastAsia="ru-RU"/>
    </w:rPr>
    <w:tblPr>
      <w:tblStyleRowBandSize w:val="1"/>
      <w:tblStyleColBandSize w:val="1"/>
      <w:tblInd w:w="0" w:type="dxa"/>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CellMar>
        <w:top w:w="0" w:type="dxa"/>
        <w:left w:w="108" w:type="dxa"/>
        <w:bottom w:w="0" w:type="dxa"/>
        <w:right w:w="108" w:type="dxa"/>
      </w:tblCellMar>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pPr>
      <w:spacing w:after="0" w:line="240" w:lineRule="auto"/>
    </w:pPr>
    <w:tblPr>
      <w:tblStyleRowBandSize w:val="1"/>
      <w:tblStyleColBandSize w:val="1"/>
      <w:tblInd w:w="0" w:type="dxa"/>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pPr>
      <w:spacing w:after="0" w:line="240" w:lineRule="auto"/>
    </w:pPr>
    <w:tblPr>
      <w:tblStyleRowBandSize w:val="1"/>
      <w:tblStyleColBandSize w:val="1"/>
      <w:tblInd w:w="0" w:type="dxa"/>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a1"/>
    <w:uiPriority w:val="99"/>
    <w:pPr>
      <w:spacing w:after="0" w:line="240" w:lineRule="auto"/>
    </w:pPr>
    <w:tblPr>
      <w:tblStyleRowBandSize w:val="1"/>
      <w:tblStyleColBandSize w:val="1"/>
      <w:tblInd w:w="0" w:type="dxa"/>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pPr>
      <w:spacing w:after="0" w:line="240" w:lineRule="auto"/>
    </w:pPr>
    <w:tblPr>
      <w:tblStyleRowBandSize w:val="1"/>
      <w:tblStyleColBandSize w:val="1"/>
      <w:tblInd w:w="0" w:type="dxa"/>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pPr>
      <w:spacing w:after="0" w:line="240" w:lineRule="auto"/>
    </w:pPr>
    <w:tblPr>
      <w:tblStyleRowBandSize w:val="1"/>
      <w:tblStyleColBandSize w:val="1"/>
      <w:tblInd w:w="0" w:type="dxa"/>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pPr>
      <w:spacing w:after="0" w:line="240" w:lineRule="auto"/>
    </w:pPr>
    <w:tblPr>
      <w:tblStyleRowBandSize w:val="1"/>
      <w:tblStyleColBandSize w:val="1"/>
      <w:tblInd w:w="0" w:type="dxa"/>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a1"/>
    <w:uiPriority w:val="99"/>
    <w:pPr>
      <w:spacing w:after="0" w:line="240" w:lineRule="auto"/>
    </w:pPr>
    <w:tblPr>
      <w:tblStyleRowBandSize w:val="1"/>
      <w:tblStyleColBandSize w:val="1"/>
      <w:tblInd w:w="0" w:type="dxa"/>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CellMar>
        <w:top w:w="0" w:type="dxa"/>
        <w:left w:w="108" w:type="dxa"/>
        <w:bottom w:w="0" w:type="dxa"/>
        <w:right w:w="108" w:type="dxa"/>
      </w:tblCellMar>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styleId="af0">
    <w:name w:val="Hyperlink"/>
    <w:uiPriority w:val="99"/>
    <w:unhideWhenUsed/>
    <w:rPr>
      <w:color w:val="0563C1" w:themeColor="hyperlink"/>
      <w:u w:val="single"/>
    </w:rPr>
  </w:style>
  <w:style w:type="paragraph" w:styleId="af1">
    <w:name w:val="footnote text"/>
    <w:basedOn w:val="a"/>
    <w:link w:val="af2"/>
    <w:uiPriority w:val="99"/>
    <w:semiHidden/>
    <w:unhideWhenUsed/>
    <w:pPr>
      <w:spacing w:after="40" w:line="240" w:lineRule="auto"/>
    </w:pPr>
    <w:rPr>
      <w:sz w:val="18"/>
    </w:rPr>
  </w:style>
  <w:style w:type="character" w:customStyle="1" w:styleId="af2">
    <w:name w:val="Текст сноски Знак"/>
    <w:link w:val="af1"/>
    <w:uiPriority w:val="99"/>
    <w:rPr>
      <w:sz w:val="18"/>
    </w:rPr>
  </w:style>
  <w:style w:type="character" w:styleId="af3">
    <w:name w:val="footnote reference"/>
    <w:uiPriority w:val="99"/>
    <w:unhideWhenUsed/>
    <w:rPr>
      <w:vertAlign w:val="superscript"/>
    </w:rPr>
  </w:style>
  <w:style w:type="paragraph" w:styleId="af4">
    <w:name w:val="endnote text"/>
    <w:basedOn w:val="a"/>
    <w:link w:val="af5"/>
    <w:uiPriority w:val="99"/>
    <w:semiHidden/>
    <w:unhideWhenUsed/>
    <w:pPr>
      <w:spacing w:after="0" w:line="240" w:lineRule="auto"/>
    </w:pPr>
    <w:rPr>
      <w:sz w:val="20"/>
    </w:rPr>
  </w:style>
  <w:style w:type="character" w:customStyle="1" w:styleId="af5">
    <w:name w:val="Текст концевой сноски Знак"/>
    <w:link w:val="af4"/>
    <w:uiPriority w:val="99"/>
    <w:rPr>
      <w:sz w:val="20"/>
    </w:rPr>
  </w:style>
  <w:style w:type="character" w:styleId="af6">
    <w:name w:val="endnote reference"/>
    <w:uiPriority w:val="99"/>
    <w:semiHidden/>
    <w:unhideWhenUsed/>
    <w:rPr>
      <w:vertAlign w:val="superscript"/>
    </w:rPr>
  </w:style>
  <w:style w:type="paragraph" w:styleId="11">
    <w:name w:val="toc 1"/>
    <w:basedOn w:val="a"/>
    <w:next w:val="a"/>
    <w:uiPriority w:val="39"/>
    <w:unhideWhenUsed/>
    <w:pPr>
      <w:spacing w:after="57"/>
    </w:pPr>
  </w:style>
  <w:style w:type="paragraph" w:styleId="23">
    <w:name w:val="toc 2"/>
    <w:basedOn w:val="a"/>
    <w:next w:val="a"/>
    <w:uiPriority w:val="39"/>
    <w:unhideWhenUsed/>
    <w:pPr>
      <w:spacing w:after="57"/>
      <w:ind w:left="283"/>
    </w:pPr>
  </w:style>
  <w:style w:type="paragraph" w:styleId="31">
    <w:name w:val="toc 3"/>
    <w:basedOn w:val="a"/>
    <w:next w:val="a"/>
    <w:uiPriority w:val="39"/>
    <w:unhideWhenUsed/>
    <w:pPr>
      <w:spacing w:after="57"/>
      <w:ind w:left="567"/>
    </w:pPr>
  </w:style>
  <w:style w:type="paragraph" w:styleId="41">
    <w:name w:val="toc 4"/>
    <w:basedOn w:val="a"/>
    <w:next w:val="a"/>
    <w:uiPriority w:val="39"/>
    <w:unhideWhenUsed/>
    <w:pPr>
      <w:spacing w:after="57"/>
      <w:ind w:left="850"/>
    </w:pPr>
  </w:style>
  <w:style w:type="paragraph" w:styleId="51">
    <w:name w:val="toc 5"/>
    <w:basedOn w:val="a"/>
    <w:next w:val="a"/>
    <w:uiPriority w:val="39"/>
    <w:unhideWhenUsed/>
    <w:pPr>
      <w:spacing w:after="57"/>
      <w:ind w:left="1134"/>
    </w:pPr>
  </w:style>
  <w:style w:type="paragraph" w:styleId="61">
    <w:name w:val="toc 6"/>
    <w:basedOn w:val="a"/>
    <w:next w:val="a"/>
    <w:uiPriority w:val="39"/>
    <w:unhideWhenUsed/>
    <w:pPr>
      <w:spacing w:after="57"/>
      <w:ind w:left="1417"/>
    </w:pPr>
  </w:style>
  <w:style w:type="paragraph" w:styleId="71">
    <w:name w:val="toc 7"/>
    <w:basedOn w:val="a"/>
    <w:next w:val="a"/>
    <w:uiPriority w:val="39"/>
    <w:unhideWhenUsed/>
    <w:pPr>
      <w:spacing w:after="57"/>
      <w:ind w:left="1701"/>
    </w:pPr>
  </w:style>
  <w:style w:type="paragraph" w:styleId="81">
    <w:name w:val="toc 8"/>
    <w:basedOn w:val="a"/>
    <w:next w:val="a"/>
    <w:uiPriority w:val="39"/>
    <w:unhideWhenUsed/>
    <w:pPr>
      <w:spacing w:after="57"/>
      <w:ind w:left="1984"/>
    </w:pPr>
  </w:style>
  <w:style w:type="paragraph" w:styleId="91">
    <w:name w:val="toc 9"/>
    <w:basedOn w:val="a"/>
    <w:next w:val="a"/>
    <w:uiPriority w:val="39"/>
    <w:unhideWhenUsed/>
    <w:pPr>
      <w:spacing w:after="57"/>
      <w:ind w:left="2268"/>
    </w:pPr>
  </w:style>
  <w:style w:type="paragraph" w:styleId="af7">
    <w:name w:val="TOC Heading"/>
    <w:uiPriority w:val="39"/>
    <w:unhideWhenUsed/>
  </w:style>
  <w:style w:type="paragraph" w:styleId="af8">
    <w:name w:val="table of figures"/>
    <w:basedOn w:val="a"/>
    <w:next w:val="a"/>
    <w:uiPriority w:val="99"/>
    <w:unhideWhenUsed/>
    <w:pPr>
      <w:spacing w:after="0"/>
    </w:pPr>
  </w:style>
  <w:style w:type="paragraph" w:styleId="af9">
    <w:name w:val="No Spacing"/>
    <w:basedOn w:val="a"/>
    <w:uiPriority w:val="1"/>
    <w:qFormat/>
    <w:pPr>
      <w:spacing w:after="0" w:line="240" w:lineRule="auto"/>
    </w:pPr>
  </w:style>
  <w:style w:type="paragraph" w:styleId="afa">
    <w:name w:val="List Paragraph"/>
    <w:basedOn w:val="a"/>
    <w:uiPriority w:val="34"/>
    <w:qFormat/>
    <w:pPr>
      <w:ind w:left="720"/>
      <w:contextualSpacing/>
    </w:pPr>
  </w:style>
  <w:style w:type="paragraph" w:customStyle="1" w:styleId="pohead">
    <w:name w:val="po_head"/>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paragraph" w:customStyle="1" w:styleId="pobody">
    <w:name w:val="po_body"/>
    <w:qFormat/>
    <w:pPr>
      <w:pBdr>
        <w:top w:val="none" w:sz="4" w:space="0" w:color="000000"/>
        <w:left w:val="none" w:sz="4" w:space="0" w:color="000000"/>
        <w:bottom w:val="none" w:sz="4" w:space="0" w:color="000000"/>
        <w:right w:val="none" w:sz="4" w:space="0" w:color="000000"/>
        <w:between w:val="none" w:sz="4" w:space="0" w:color="000000"/>
      </w:pBdr>
      <w:spacing w:after="0" w:line="240" w:lineRule="auto"/>
    </w:pPr>
    <w:rPr>
      <w:rFonts w:ascii="Calibri" w:eastAsia="Calibri" w:hAnsi="Calibri" w:cs="Times New Roman"/>
      <w:lang w:val="en-US"/>
    </w:rPr>
  </w:style>
  <w:style w:type="character" w:customStyle="1" w:styleId="afb">
    <w:name w:val="Основной текст_"/>
    <w:rPr>
      <w:rFonts w:ascii="Cambria" w:eastAsia="Cambria" w:hAnsi="Cambria" w:cs="Cambria"/>
      <w:b w:val="0"/>
      <w:bCs w:val="0"/>
      <w:i w:val="0"/>
      <w:iCs w:val="0"/>
      <w:smallCaps w:val="0"/>
      <w:strike w:val="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20</TotalTime>
  <Pages>8</Pages>
  <Words>4064</Words>
  <Characters>23168</Characters>
  <Application>Microsoft Office Word</Application>
  <DocSecurity>0</DocSecurity>
  <Lines>193</Lines>
  <Paragraphs>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27178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BigBoss</cp:lastModifiedBy>
  <cp:revision>15</cp:revision>
  <dcterms:created xsi:type="dcterms:W3CDTF">2026-02-11T08:07:00Z</dcterms:created>
  <dcterms:modified xsi:type="dcterms:W3CDTF">2026-07-21T13:28:00Z</dcterms:modified>
</cp:coreProperties>
</file>