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8CC60" w14:textId="77777777" w:rsidR="00BD4511" w:rsidRDefault="00D14AF3">
      <w:pPr>
        <w:pStyle w:val="Heading1"/>
      </w:pPr>
      <w:r>
        <w:t>Retirement Recordkeeping Platform Conversion Application Reference Guide</w:t>
      </w:r>
    </w:p>
    <w:p w14:paraId="56C53F2A" w14:textId="77777777" w:rsidR="00BD4511" w:rsidRDefault="00D14AF3">
      <w:r>
        <w:t>This document provides comprehensive business and technical context for designing and developing a retirement recordkeeping conversion application capable of migrating 401(k), 403(b), 457, and HSA plans between recordkeeping platforms.</w:t>
      </w:r>
    </w:p>
    <w:p w14:paraId="68150240" w14:textId="77777777" w:rsidR="00BD4511" w:rsidRDefault="00D14AF3">
      <w:pPr>
        <w:pStyle w:val="Heading2"/>
      </w:pPr>
      <w:r>
        <w:t>Purpose</w:t>
      </w:r>
    </w:p>
    <w:p w14:paraId="090442D8" w14:textId="77777777" w:rsidR="00BD4511" w:rsidRDefault="00D14AF3">
      <w:r>
        <w:t>Build a repeatable conversion framework that inventories, analyzes, maps, validates, transforms, tests, and migrates retirement plans from one recordkeeping platform to another while preserving legal plan intent, participant financial integrity, compliance, operational workflows, interfaces, and reporting.</w:t>
      </w:r>
    </w:p>
    <w:p w14:paraId="03851A09" w14:textId="77777777" w:rsidR="00BD4511" w:rsidRDefault="00D14AF3">
      <w:pPr>
        <w:pStyle w:val="Heading2"/>
      </w:pPr>
      <w:r>
        <w:t>Supported Products</w:t>
      </w:r>
    </w:p>
    <w:p w14:paraId="24447C46" w14:textId="77777777" w:rsidR="00BD4511" w:rsidRDefault="00D14AF3">
      <w:r>
        <w:t>401(k), 403(b), Governmental and Non-Governmental 457 plans, HSAs, MEPs, PEPs, Profit Sharing, Cash Balance and related retirement administration products.</w:t>
      </w:r>
    </w:p>
    <w:p w14:paraId="72605B53" w14:textId="77777777" w:rsidR="00BD4511" w:rsidRDefault="00D14AF3">
      <w:pPr>
        <w:pStyle w:val="Heading2"/>
      </w:pPr>
      <w:r>
        <w:t>Business Drivers</w:t>
      </w:r>
    </w:p>
    <w:p w14:paraId="759C6D72" w14:textId="77777777" w:rsidR="00BD4511" w:rsidRDefault="00D14AF3">
      <w:r>
        <w:t>Platform consolidation, acquisitions, modernization, cloud migration, operational standardization, licensing reduction, participant experience improvements, regulatory compliance, and AI-assisted automation.</w:t>
      </w:r>
    </w:p>
    <w:p w14:paraId="0D1F96A5" w14:textId="77777777" w:rsidR="00BD4511" w:rsidRDefault="00D14AF3">
      <w:pPr>
        <w:pStyle w:val="Heading2"/>
      </w:pPr>
      <w:r>
        <w:t>High-Level Conversion Lifecycle</w:t>
      </w:r>
    </w:p>
    <w:p w14:paraId="0FE2DE88" w14:textId="77777777" w:rsidR="00BD4511" w:rsidRDefault="00D14AF3">
      <w:r>
        <w:t>1. Discovery &amp; Inventory</w:t>
      </w:r>
      <w:r>
        <w:br/>
        <w:t>2. Plan Document Analysis</w:t>
      </w:r>
      <w:r>
        <w:br/>
        <w:t>3. Platform Gap Analysis</w:t>
      </w:r>
      <w:r>
        <w:br/>
        <w:t>4. Source-to-Target Mapping</w:t>
      </w:r>
      <w:r>
        <w:br/>
        <w:t>5. Configuration Mapping</w:t>
      </w:r>
      <w:r>
        <w:br/>
        <w:t>6. Data Profiling &amp; Cleansing</w:t>
      </w:r>
      <w:r>
        <w:br/>
        <w:t>7. ETL Development</w:t>
      </w:r>
      <w:r>
        <w:br/>
        <w:t>8. Interface Conversion</w:t>
      </w:r>
      <w:r>
        <w:br/>
        <w:t>9. Report Conversion</w:t>
      </w:r>
      <w:r>
        <w:br/>
        <w:t>10. Testing (Unit/System/UAT/Parallel)</w:t>
      </w:r>
      <w:r>
        <w:br/>
      </w:r>
      <w:r>
        <w:t>11. Cutover Planning</w:t>
      </w:r>
      <w:r>
        <w:br/>
        <w:t>12. Production Migration</w:t>
      </w:r>
      <w:r>
        <w:br/>
        <w:t>13. Hypercare</w:t>
      </w:r>
    </w:p>
    <w:p w14:paraId="0D7FCFCA" w14:textId="77777777" w:rsidR="00BD4511" w:rsidRDefault="00D14AF3">
      <w:pPr>
        <w:pStyle w:val="Heading2"/>
      </w:pPr>
      <w:r>
        <w:t>Core Workstreams</w:t>
      </w:r>
    </w:p>
    <w:p w14:paraId="7B533DB0" w14:textId="77777777" w:rsidR="00BD4511" w:rsidRDefault="00D14AF3">
      <w:r>
        <w:t>Business Analysis, Plan Configuration, Data Conversion, Interfaces, Compliance, Security, Infrastructure, Reporting, Change Management, Training, Project Management Office.</w:t>
      </w:r>
    </w:p>
    <w:p w14:paraId="437289D0" w14:textId="77777777" w:rsidR="00BD4511" w:rsidRDefault="00D14AF3">
      <w:pPr>
        <w:pStyle w:val="Heading2"/>
      </w:pPr>
      <w:r>
        <w:lastRenderedPageBreak/>
        <w:t>Data Domains</w:t>
      </w:r>
    </w:p>
    <w:p w14:paraId="1C1DDA97" w14:textId="77777777" w:rsidR="00BD4511" w:rsidRDefault="00D14AF3">
      <w:r>
        <w:t>Plan, Employer, Participant, Payroll, Contributions, Investments, Loans, Distributions, Beneficiaries, Vesting, Compliance, Audit History, Transaction History, Interfaces, Security, Documents.</w:t>
      </w:r>
    </w:p>
    <w:p w14:paraId="40578728" w14:textId="77777777" w:rsidR="00BD4511" w:rsidRDefault="00D14AF3">
      <w:pPr>
        <w:pStyle w:val="Heading2"/>
      </w:pPr>
      <w:r>
        <w:t>Functional Capabilities for the Application</w:t>
      </w:r>
    </w:p>
    <w:p w14:paraId="78E8DB20" w14:textId="77777777" w:rsidR="00BD4511" w:rsidRDefault="00D14AF3">
      <w:r>
        <w:t>• Document ingestion (plan documents, adoption agreements, amendments)</w:t>
      </w:r>
      <w:r>
        <w:br/>
        <w:t>• AI extraction of plan provisions</w:t>
      </w:r>
      <w:r>
        <w:br/>
        <w:t>• Field taxonomy and configuration mapping</w:t>
      </w:r>
      <w:r>
        <w:br/>
        <w:t>• Source/target crosswalk management</w:t>
      </w:r>
      <w:r>
        <w:br/>
        <w:t>• Data quality profiling</w:t>
      </w:r>
      <w:r>
        <w:br/>
        <w:t>• ETL execution</w:t>
      </w:r>
      <w:r>
        <w:br/>
        <w:t>• Automated reconciliation</w:t>
      </w:r>
      <w:r>
        <w:br/>
        <w:t>• Exception management workflow</w:t>
      </w:r>
      <w:r>
        <w:br/>
        <w:t>• Testing dashboard</w:t>
      </w:r>
      <w:r>
        <w:br/>
        <w:t>• Parallel comparison engine</w:t>
      </w:r>
      <w:r>
        <w:br/>
        <w:t>• Cutover orchestration</w:t>
      </w:r>
      <w:r>
        <w:br/>
        <w:t>• Hypercare monitoring</w:t>
      </w:r>
      <w:r>
        <w:br/>
        <w:t>• Audit trail and reporting</w:t>
      </w:r>
    </w:p>
    <w:p w14:paraId="182B536A" w14:textId="77777777" w:rsidR="00BD4511" w:rsidRDefault="00D14AF3">
      <w:pPr>
        <w:pStyle w:val="Heading2"/>
      </w:pPr>
      <w:r>
        <w:t>AI Opportunities</w:t>
      </w:r>
    </w:p>
    <w:p w14:paraId="512BB57D" w14:textId="77777777" w:rsidR="00BD4511" w:rsidRDefault="00D14AF3">
      <w:r>
        <w:t>AI can classify plan provisions, map configuration fields, identify unsupported features, inventory custom code and reports, recommend mappings, detect data anomalies, automate reconciliations, generate documentation, and assist analysts with conversion knowledge.</w:t>
      </w:r>
    </w:p>
    <w:p w14:paraId="14DE6E27" w14:textId="77777777" w:rsidR="00BD4511" w:rsidRDefault="00D14AF3">
      <w:pPr>
        <w:pStyle w:val="Heading2"/>
      </w:pPr>
      <w:r>
        <w:t>Testing Strategy</w:t>
      </w:r>
    </w:p>
    <w:p w14:paraId="34349DAB" w14:textId="77777777" w:rsidR="00BD4511" w:rsidRDefault="00D14AF3">
      <w:r>
        <w:t>Unit, integration, regression, parallel, user acceptance, performance, production validation, financial reconciliation, payroll validation, compliance testing, and participant statement validation.</w:t>
      </w:r>
    </w:p>
    <w:p w14:paraId="6191783E" w14:textId="77777777" w:rsidR="00BD4511" w:rsidRDefault="00D14AF3">
      <w:pPr>
        <w:pStyle w:val="Heading2"/>
      </w:pPr>
      <w:r>
        <w:t>Architecture Considerations</w:t>
      </w:r>
    </w:p>
    <w:p w14:paraId="24BEDB89" w14:textId="77777777" w:rsidR="00BD4511" w:rsidRDefault="00D14AF3">
      <w:r>
        <w:t>Modular services for ingestion, document AI, mapping engine, rules engine, ETL, reconciliation, issue management, workflow, reporting, security, APIs, and metadata repository.</w:t>
      </w:r>
    </w:p>
    <w:p w14:paraId="48F8D7A8" w14:textId="77777777" w:rsidR="00BD4511" w:rsidRDefault="00D14AF3">
      <w:pPr>
        <w:pStyle w:val="Heading2"/>
      </w:pPr>
      <w:r>
        <w:t>Common Conversion Issues and Typical Resolutions</w:t>
      </w:r>
    </w:p>
    <w:tbl>
      <w:tblPr>
        <w:tblStyle w:val="TableGrid"/>
        <w:tblW w:w="0" w:type="auto"/>
        <w:tblLook w:val="04A0" w:firstRow="1" w:lastRow="0" w:firstColumn="1" w:lastColumn="0" w:noHBand="0" w:noVBand="1"/>
      </w:tblPr>
      <w:tblGrid>
        <w:gridCol w:w="2061"/>
        <w:gridCol w:w="2422"/>
        <w:gridCol w:w="2068"/>
        <w:gridCol w:w="2079"/>
      </w:tblGrid>
      <w:tr w:rsidR="00BD4511" w14:paraId="35883D95" w14:textId="77777777">
        <w:tc>
          <w:tcPr>
            <w:tcW w:w="2160" w:type="dxa"/>
          </w:tcPr>
          <w:p w14:paraId="0D762D6A" w14:textId="77777777" w:rsidR="00BD4511" w:rsidRDefault="00D14AF3">
            <w:r>
              <w:t>Issue</w:t>
            </w:r>
          </w:p>
        </w:tc>
        <w:tc>
          <w:tcPr>
            <w:tcW w:w="2160" w:type="dxa"/>
          </w:tcPr>
          <w:p w14:paraId="09B8E5C5" w14:textId="77777777" w:rsidR="00BD4511" w:rsidRDefault="00D14AF3">
            <w:r>
              <w:t>Cause</w:t>
            </w:r>
          </w:p>
        </w:tc>
        <w:tc>
          <w:tcPr>
            <w:tcW w:w="2160" w:type="dxa"/>
          </w:tcPr>
          <w:p w14:paraId="15537B21" w14:textId="77777777" w:rsidR="00BD4511" w:rsidRDefault="00D14AF3">
            <w:r>
              <w:t>Impact</w:t>
            </w:r>
          </w:p>
        </w:tc>
        <w:tc>
          <w:tcPr>
            <w:tcW w:w="2160" w:type="dxa"/>
          </w:tcPr>
          <w:p w14:paraId="3EA75C2F" w14:textId="77777777" w:rsidR="00BD4511" w:rsidRDefault="00D14AF3">
            <w:r>
              <w:t>Typical Resolution</w:t>
            </w:r>
          </w:p>
        </w:tc>
      </w:tr>
      <w:tr w:rsidR="00BD4511" w14:paraId="79F747C6" w14:textId="77777777">
        <w:tc>
          <w:tcPr>
            <w:tcW w:w="2160" w:type="dxa"/>
          </w:tcPr>
          <w:p w14:paraId="46AF540C" w14:textId="77777777" w:rsidR="00BD4511" w:rsidRDefault="00D14AF3">
            <w:r>
              <w:t>Plan provision mismatch</w:t>
            </w:r>
          </w:p>
        </w:tc>
        <w:tc>
          <w:tcPr>
            <w:tcW w:w="2160" w:type="dxa"/>
          </w:tcPr>
          <w:p w14:paraId="4F381ECF" w14:textId="77777777" w:rsidR="00BD4511" w:rsidRDefault="00D14AF3">
            <w:r>
              <w:t>Different configuration models</w:t>
            </w:r>
          </w:p>
        </w:tc>
        <w:tc>
          <w:tcPr>
            <w:tcW w:w="2160" w:type="dxa"/>
          </w:tcPr>
          <w:p w14:paraId="3702CBDC" w14:textId="77777777" w:rsidR="00BD4511" w:rsidRDefault="00D14AF3">
            <w:r>
              <w:t>Incorrect processing</w:t>
            </w:r>
          </w:p>
        </w:tc>
        <w:tc>
          <w:tcPr>
            <w:tcW w:w="2160" w:type="dxa"/>
          </w:tcPr>
          <w:p w14:paraId="0153768A" w14:textId="77777777" w:rsidR="00BD4511" w:rsidRDefault="00D14AF3">
            <w:r>
              <w:t>Provision extraction, SME review, configuration crosswalks.</w:t>
            </w:r>
          </w:p>
        </w:tc>
      </w:tr>
      <w:tr w:rsidR="00BD4511" w14:paraId="04BF74A9" w14:textId="77777777">
        <w:tc>
          <w:tcPr>
            <w:tcW w:w="2160" w:type="dxa"/>
          </w:tcPr>
          <w:p w14:paraId="1E896740" w14:textId="77777777" w:rsidR="00BD4511" w:rsidRDefault="00D14AF3">
            <w:r>
              <w:t>Field mapping errors</w:t>
            </w:r>
          </w:p>
        </w:tc>
        <w:tc>
          <w:tcPr>
            <w:tcW w:w="2160" w:type="dxa"/>
          </w:tcPr>
          <w:p w14:paraId="184ACC0F" w14:textId="77777777" w:rsidR="00BD4511" w:rsidRDefault="00D14AF3">
            <w:r>
              <w:t>Schema differences</w:t>
            </w:r>
          </w:p>
        </w:tc>
        <w:tc>
          <w:tcPr>
            <w:tcW w:w="2160" w:type="dxa"/>
          </w:tcPr>
          <w:p w14:paraId="08830BB5" w14:textId="77777777" w:rsidR="00BD4511" w:rsidRDefault="00D14AF3">
            <w:r>
              <w:t>Bad converted data</w:t>
            </w:r>
          </w:p>
        </w:tc>
        <w:tc>
          <w:tcPr>
            <w:tcW w:w="2160" w:type="dxa"/>
          </w:tcPr>
          <w:p w14:paraId="2664D155" w14:textId="77777777" w:rsidR="00BD4511" w:rsidRDefault="00D14AF3">
            <w:r>
              <w:t xml:space="preserve">Metadata repository, mapping </w:t>
            </w:r>
            <w:r>
              <w:lastRenderedPageBreak/>
              <w:t>approval workflow.</w:t>
            </w:r>
          </w:p>
        </w:tc>
      </w:tr>
      <w:tr w:rsidR="00BD4511" w14:paraId="4E297E27" w14:textId="77777777">
        <w:tc>
          <w:tcPr>
            <w:tcW w:w="2160" w:type="dxa"/>
          </w:tcPr>
          <w:p w14:paraId="3FEB3583" w14:textId="77777777" w:rsidR="00BD4511" w:rsidRDefault="00D14AF3">
            <w:r>
              <w:lastRenderedPageBreak/>
              <w:t>Balance variances</w:t>
            </w:r>
          </w:p>
        </w:tc>
        <w:tc>
          <w:tcPr>
            <w:tcW w:w="2160" w:type="dxa"/>
          </w:tcPr>
          <w:p w14:paraId="3D70AC52" w14:textId="77777777" w:rsidR="00BD4511" w:rsidRDefault="00D14AF3">
            <w:r>
              <w:t>Transformation/timing</w:t>
            </w:r>
          </w:p>
        </w:tc>
        <w:tc>
          <w:tcPr>
            <w:tcW w:w="2160" w:type="dxa"/>
          </w:tcPr>
          <w:p w14:paraId="268F9571" w14:textId="77777777" w:rsidR="00BD4511" w:rsidRDefault="00D14AF3">
            <w:r>
              <w:t>Financial differences</w:t>
            </w:r>
          </w:p>
        </w:tc>
        <w:tc>
          <w:tcPr>
            <w:tcW w:w="2160" w:type="dxa"/>
          </w:tcPr>
          <w:p w14:paraId="6D64C6BF" w14:textId="77777777" w:rsidR="00BD4511" w:rsidRDefault="00D14AF3">
            <w:r>
              <w:t>Automated reconciliation by source, fund, participant.</w:t>
            </w:r>
          </w:p>
        </w:tc>
      </w:tr>
      <w:tr w:rsidR="00BD4511" w14:paraId="15C7EE71" w14:textId="77777777">
        <w:tc>
          <w:tcPr>
            <w:tcW w:w="2160" w:type="dxa"/>
          </w:tcPr>
          <w:p w14:paraId="28D9863F" w14:textId="77777777" w:rsidR="00BD4511" w:rsidRDefault="00D14AF3">
            <w:r>
              <w:t>Payroll failures</w:t>
            </w:r>
          </w:p>
        </w:tc>
        <w:tc>
          <w:tcPr>
            <w:tcW w:w="2160" w:type="dxa"/>
          </w:tcPr>
          <w:p w14:paraId="3BFFDDD4" w14:textId="77777777" w:rsidR="00BD4511" w:rsidRDefault="00D14AF3">
            <w:r>
              <w:t>Layout/code changes</w:t>
            </w:r>
          </w:p>
        </w:tc>
        <w:tc>
          <w:tcPr>
            <w:tcW w:w="2160" w:type="dxa"/>
          </w:tcPr>
          <w:p w14:paraId="61EDD7AB" w14:textId="77777777" w:rsidR="00BD4511" w:rsidRDefault="00D14AF3">
            <w:r>
              <w:t>Contribution delays</w:t>
            </w:r>
          </w:p>
        </w:tc>
        <w:tc>
          <w:tcPr>
            <w:tcW w:w="2160" w:type="dxa"/>
          </w:tcPr>
          <w:p w14:paraId="7C77AA29" w14:textId="77777777" w:rsidR="00BD4511" w:rsidRDefault="00D14AF3">
            <w:r>
              <w:t>Interface mapping, end-to-end payroll tests.</w:t>
            </w:r>
          </w:p>
        </w:tc>
      </w:tr>
      <w:tr w:rsidR="00BD4511" w14:paraId="7EE7B759" w14:textId="77777777">
        <w:tc>
          <w:tcPr>
            <w:tcW w:w="2160" w:type="dxa"/>
          </w:tcPr>
          <w:p w14:paraId="32132F28" w14:textId="77777777" w:rsidR="00BD4511" w:rsidRDefault="00D14AF3">
            <w:r>
              <w:t>Investment mapping</w:t>
            </w:r>
          </w:p>
        </w:tc>
        <w:tc>
          <w:tcPr>
            <w:tcW w:w="2160" w:type="dxa"/>
          </w:tcPr>
          <w:p w14:paraId="2504DDA9" w14:textId="77777777" w:rsidR="00BD4511" w:rsidRDefault="00D14AF3">
            <w:r>
              <w:t>Fund changes</w:t>
            </w:r>
          </w:p>
        </w:tc>
        <w:tc>
          <w:tcPr>
            <w:tcW w:w="2160" w:type="dxa"/>
          </w:tcPr>
          <w:p w14:paraId="46B864DA" w14:textId="77777777" w:rsidR="00BD4511" w:rsidRDefault="00D14AF3">
            <w:r>
              <w:t>Incorrect allocations</w:t>
            </w:r>
          </w:p>
        </w:tc>
        <w:tc>
          <w:tcPr>
            <w:tcW w:w="2160" w:type="dxa"/>
          </w:tcPr>
          <w:p w14:paraId="2B01CB79" w14:textId="77777777" w:rsidR="00BD4511" w:rsidRDefault="00D14AF3">
            <w:r>
              <w:t>Fund crosswalks and sponsor approval.</w:t>
            </w:r>
          </w:p>
        </w:tc>
      </w:tr>
      <w:tr w:rsidR="00BD4511" w14:paraId="4759AE2B" w14:textId="77777777">
        <w:tc>
          <w:tcPr>
            <w:tcW w:w="2160" w:type="dxa"/>
          </w:tcPr>
          <w:p w14:paraId="1A71BBBC" w14:textId="77777777" w:rsidR="00BD4511" w:rsidRDefault="00D14AF3">
            <w:r>
              <w:t>Loan conversion</w:t>
            </w:r>
          </w:p>
        </w:tc>
        <w:tc>
          <w:tcPr>
            <w:tcW w:w="2160" w:type="dxa"/>
          </w:tcPr>
          <w:p w14:paraId="183BCC14" w14:textId="77777777" w:rsidR="00BD4511" w:rsidRDefault="00D14AF3">
            <w:r>
              <w:t>Different amortization logic</w:t>
            </w:r>
          </w:p>
        </w:tc>
        <w:tc>
          <w:tcPr>
            <w:tcW w:w="2160" w:type="dxa"/>
          </w:tcPr>
          <w:p w14:paraId="4910D842" w14:textId="77777777" w:rsidR="00BD4511" w:rsidRDefault="00D14AF3">
            <w:r>
              <w:t>Payment errors</w:t>
            </w:r>
          </w:p>
        </w:tc>
        <w:tc>
          <w:tcPr>
            <w:tcW w:w="2160" w:type="dxa"/>
          </w:tcPr>
          <w:p w14:paraId="26453046" w14:textId="77777777" w:rsidR="00BD4511" w:rsidRDefault="00D14AF3">
            <w:r>
              <w:t>Recalculate schedules and reconcile balances.</w:t>
            </w:r>
          </w:p>
        </w:tc>
      </w:tr>
      <w:tr w:rsidR="00BD4511" w14:paraId="11E48E3B" w14:textId="77777777">
        <w:tc>
          <w:tcPr>
            <w:tcW w:w="2160" w:type="dxa"/>
          </w:tcPr>
          <w:p w14:paraId="567B7F10" w14:textId="77777777" w:rsidR="00BD4511" w:rsidRDefault="00D14AF3">
            <w:r>
              <w:t>Vesting differences</w:t>
            </w:r>
          </w:p>
        </w:tc>
        <w:tc>
          <w:tcPr>
            <w:tcW w:w="2160" w:type="dxa"/>
          </w:tcPr>
          <w:p w14:paraId="5AC661AD" w14:textId="77777777" w:rsidR="00BD4511" w:rsidRDefault="00D14AF3">
            <w:r>
              <w:t>Service calculation rules</w:t>
            </w:r>
          </w:p>
        </w:tc>
        <w:tc>
          <w:tcPr>
            <w:tcW w:w="2160" w:type="dxa"/>
          </w:tcPr>
          <w:p w14:paraId="079E1406" w14:textId="77777777" w:rsidR="00BD4511" w:rsidRDefault="00D14AF3">
            <w:r>
              <w:t>Incorrect vested balances</w:t>
            </w:r>
          </w:p>
        </w:tc>
        <w:tc>
          <w:tcPr>
            <w:tcW w:w="2160" w:type="dxa"/>
          </w:tcPr>
          <w:p w14:paraId="5672EC6A" w14:textId="77777777" w:rsidR="00BD4511" w:rsidRDefault="00D14AF3">
            <w:r>
              <w:t>Parallel service and vesting calculations.</w:t>
            </w:r>
          </w:p>
        </w:tc>
      </w:tr>
      <w:tr w:rsidR="00BD4511" w14:paraId="30630C15" w14:textId="77777777">
        <w:tc>
          <w:tcPr>
            <w:tcW w:w="2160" w:type="dxa"/>
          </w:tcPr>
          <w:p w14:paraId="08311A3F" w14:textId="77777777" w:rsidR="00BD4511" w:rsidRDefault="00D14AF3">
            <w:r>
              <w:t>Historical data missing</w:t>
            </w:r>
          </w:p>
        </w:tc>
        <w:tc>
          <w:tcPr>
            <w:tcW w:w="2160" w:type="dxa"/>
          </w:tcPr>
          <w:p w14:paraId="5EC887D3" w14:textId="77777777" w:rsidR="00BD4511" w:rsidRDefault="00D14AF3">
            <w:r>
              <w:t>Incomplete extracts</w:t>
            </w:r>
          </w:p>
        </w:tc>
        <w:tc>
          <w:tcPr>
            <w:tcW w:w="2160" w:type="dxa"/>
          </w:tcPr>
          <w:p w14:paraId="4E0F988C" w14:textId="77777777" w:rsidR="00BD4511" w:rsidRDefault="00D14AF3">
            <w:r>
              <w:t>Audit gaps</w:t>
            </w:r>
          </w:p>
        </w:tc>
        <w:tc>
          <w:tcPr>
            <w:tcW w:w="2160" w:type="dxa"/>
          </w:tcPr>
          <w:p w14:paraId="475C061B" w14:textId="77777777" w:rsidR="00BD4511" w:rsidRDefault="00D14AF3">
            <w:r>
              <w:t>Validate record counts and transaction totals.</w:t>
            </w:r>
          </w:p>
        </w:tc>
      </w:tr>
      <w:tr w:rsidR="00BD4511" w14:paraId="5BFEA822" w14:textId="77777777">
        <w:tc>
          <w:tcPr>
            <w:tcW w:w="2160" w:type="dxa"/>
          </w:tcPr>
          <w:p w14:paraId="62D34609" w14:textId="77777777" w:rsidR="00BD4511" w:rsidRDefault="00D14AF3">
            <w:r>
              <w:t>Compliance gaps</w:t>
            </w:r>
          </w:p>
        </w:tc>
        <w:tc>
          <w:tcPr>
            <w:tcW w:w="2160" w:type="dxa"/>
          </w:tcPr>
          <w:p w14:paraId="5E32C140" w14:textId="77777777" w:rsidR="00BD4511" w:rsidRDefault="00D14AF3">
            <w:r>
              <w:t>Platform limitations</w:t>
            </w:r>
          </w:p>
        </w:tc>
        <w:tc>
          <w:tcPr>
            <w:tcW w:w="2160" w:type="dxa"/>
          </w:tcPr>
          <w:p w14:paraId="5C2CA95D" w14:textId="77777777" w:rsidR="00BD4511" w:rsidRDefault="00D14AF3">
            <w:r>
              <w:t>Regulatory risk</w:t>
            </w:r>
          </w:p>
        </w:tc>
        <w:tc>
          <w:tcPr>
            <w:tcW w:w="2160" w:type="dxa"/>
          </w:tcPr>
          <w:p w14:paraId="386A2AF4" w14:textId="77777777" w:rsidR="00BD4511" w:rsidRDefault="00D14AF3">
            <w:r>
              <w:t>Gap analysis and custom rules.</w:t>
            </w:r>
          </w:p>
        </w:tc>
      </w:tr>
      <w:tr w:rsidR="00BD4511" w14:paraId="1E3ACE4E" w14:textId="77777777">
        <w:tc>
          <w:tcPr>
            <w:tcW w:w="2160" w:type="dxa"/>
          </w:tcPr>
          <w:p w14:paraId="538503DB" w14:textId="77777777" w:rsidR="00BD4511" w:rsidRDefault="00D14AF3">
            <w:r>
              <w:t>Custom reports</w:t>
            </w:r>
          </w:p>
        </w:tc>
        <w:tc>
          <w:tcPr>
            <w:tcW w:w="2160" w:type="dxa"/>
          </w:tcPr>
          <w:p w14:paraId="30F1CACA" w14:textId="77777777" w:rsidR="00BD4511" w:rsidRDefault="00D14AF3">
            <w:r>
              <w:t>Legacy dependencies</w:t>
            </w:r>
          </w:p>
        </w:tc>
        <w:tc>
          <w:tcPr>
            <w:tcW w:w="2160" w:type="dxa"/>
          </w:tcPr>
          <w:p w14:paraId="46FD863E" w14:textId="77777777" w:rsidR="00BD4511" w:rsidRDefault="00D14AF3">
            <w:r>
              <w:t>Operational impact</w:t>
            </w:r>
          </w:p>
        </w:tc>
        <w:tc>
          <w:tcPr>
            <w:tcW w:w="2160" w:type="dxa"/>
          </w:tcPr>
          <w:p w14:paraId="0713D0B8" w14:textId="77777777" w:rsidR="00BD4511" w:rsidRDefault="00D14AF3">
            <w:r>
              <w:t>Inventory and rebuild.</w:t>
            </w:r>
          </w:p>
        </w:tc>
      </w:tr>
      <w:tr w:rsidR="00BD4511" w14:paraId="4A397FCD" w14:textId="77777777">
        <w:tc>
          <w:tcPr>
            <w:tcW w:w="2160" w:type="dxa"/>
          </w:tcPr>
          <w:p w14:paraId="5109474C" w14:textId="77777777" w:rsidR="00BD4511" w:rsidRDefault="00D14AF3">
            <w:r>
              <w:t>Interface failures</w:t>
            </w:r>
          </w:p>
        </w:tc>
        <w:tc>
          <w:tcPr>
            <w:tcW w:w="2160" w:type="dxa"/>
          </w:tcPr>
          <w:p w14:paraId="6C011AF4" w14:textId="77777777" w:rsidR="00BD4511" w:rsidRDefault="00D14AF3">
            <w:r>
              <w:t>Protocol/API changes</w:t>
            </w:r>
          </w:p>
        </w:tc>
        <w:tc>
          <w:tcPr>
            <w:tcW w:w="2160" w:type="dxa"/>
          </w:tcPr>
          <w:p w14:paraId="0173F583" w14:textId="77777777" w:rsidR="00BD4511" w:rsidRDefault="00D14AF3">
            <w:r>
              <w:t>Processing failures</w:t>
            </w:r>
          </w:p>
        </w:tc>
        <w:tc>
          <w:tcPr>
            <w:tcW w:w="2160" w:type="dxa"/>
          </w:tcPr>
          <w:p w14:paraId="589E413C" w14:textId="77777777" w:rsidR="00BD4511" w:rsidRDefault="00D14AF3">
            <w:r>
              <w:t>Integration testing and monitoring.</w:t>
            </w:r>
          </w:p>
        </w:tc>
      </w:tr>
      <w:tr w:rsidR="00BD4511" w14:paraId="09AA0C2B" w14:textId="77777777">
        <w:tc>
          <w:tcPr>
            <w:tcW w:w="2160" w:type="dxa"/>
          </w:tcPr>
          <w:p w14:paraId="1AE8BB15" w14:textId="77777777" w:rsidR="00BD4511" w:rsidRDefault="00D14AF3">
            <w:r>
              <w:t>Data quality</w:t>
            </w:r>
          </w:p>
        </w:tc>
        <w:tc>
          <w:tcPr>
            <w:tcW w:w="2160" w:type="dxa"/>
          </w:tcPr>
          <w:p w14:paraId="6D5DE5C6" w14:textId="77777777" w:rsidR="00BD4511" w:rsidRDefault="00D14AF3">
            <w:r>
              <w:t>Legacy issues</w:t>
            </w:r>
          </w:p>
        </w:tc>
        <w:tc>
          <w:tcPr>
            <w:tcW w:w="2160" w:type="dxa"/>
          </w:tcPr>
          <w:p w14:paraId="4644D244" w14:textId="77777777" w:rsidR="00BD4511" w:rsidRDefault="00D14AF3">
            <w:r>
              <w:t>Conversion exceptions</w:t>
            </w:r>
          </w:p>
        </w:tc>
        <w:tc>
          <w:tcPr>
            <w:tcW w:w="2160" w:type="dxa"/>
          </w:tcPr>
          <w:p w14:paraId="594365ED" w14:textId="77777777" w:rsidR="00BD4511" w:rsidRDefault="00D14AF3">
            <w:r>
              <w:t>Profiling, cleansing, exception workflow.</w:t>
            </w:r>
          </w:p>
        </w:tc>
      </w:tr>
      <w:tr w:rsidR="00BD4511" w14:paraId="531C5DCE" w14:textId="77777777">
        <w:tc>
          <w:tcPr>
            <w:tcW w:w="2160" w:type="dxa"/>
          </w:tcPr>
          <w:p w14:paraId="5BA183A5" w14:textId="77777777" w:rsidR="00BD4511" w:rsidRDefault="00D14AF3">
            <w:r>
              <w:t>Cutover risk</w:t>
            </w:r>
          </w:p>
        </w:tc>
        <w:tc>
          <w:tcPr>
            <w:tcW w:w="2160" w:type="dxa"/>
          </w:tcPr>
          <w:p w14:paraId="5E44295B" w14:textId="77777777" w:rsidR="00BD4511" w:rsidRDefault="00D14AF3">
            <w:r>
              <w:t>Scheduling issues</w:t>
            </w:r>
          </w:p>
        </w:tc>
        <w:tc>
          <w:tcPr>
            <w:tcW w:w="2160" w:type="dxa"/>
          </w:tcPr>
          <w:p w14:paraId="77F36EC8" w14:textId="77777777" w:rsidR="00BD4511" w:rsidRDefault="00D14AF3">
            <w:r>
              <w:t>Downtime</w:t>
            </w:r>
          </w:p>
        </w:tc>
        <w:tc>
          <w:tcPr>
            <w:tcW w:w="2160" w:type="dxa"/>
          </w:tcPr>
          <w:p w14:paraId="50EDEFFB" w14:textId="77777777" w:rsidR="00BD4511" w:rsidRDefault="00D14AF3">
            <w:r>
              <w:t>Mock conversions, rollback plan.</w:t>
            </w:r>
          </w:p>
        </w:tc>
      </w:tr>
      <w:tr w:rsidR="00BD4511" w14:paraId="17E40026" w14:textId="77777777">
        <w:tc>
          <w:tcPr>
            <w:tcW w:w="2160" w:type="dxa"/>
          </w:tcPr>
          <w:p w14:paraId="024777B7" w14:textId="77777777" w:rsidR="00BD4511" w:rsidRDefault="00D14AF3">
            <w:r>
              <w:t>PII/Security</w:t>
            </w:r>
          </w:p>
        </w:tc>
        <w:tc>
          <w:tcPr>
            <w:tcW w:w="2160" w:type="dxa"/>
          </w:tcPr>
          <w:p w14:paraId="0AC84CB9" w14:textId="77777777" w:rsidR="00BD4511" w:rsidRDefault="00D14AF3">
            <w:r>
              <w:t>Sensitive data</w:t>
            </w:r>
          </w:p>
        </w:tc>
        <w:tc>
          <w:tcPr>
            <w:tcW w:w="2160" w:type="dxa"/>
          </w:tcPr>
          <w:p w14:paraId="41341340" w14:textId="77777777" w:rsidR="00BD4511" w:rsidRDefault="00D14AF3">
            <w:r>
              <w:t>Compliance risk</w:t>
            </w:r>
          </w:p>
        </w:tc>
        <w:tc>
          <w:tcPr>
            <w:tcW w:w="2160" w:type="dxa"/>
          </w:tcPr>
          <w:p w14:paraId="05D35802" w14:textId="77777777" w:rsidR="00BD4511" w:rsidRDefault="00D14AF3">
            <w:r>
              <w:t>Encryption, RBAC, audit logs.</w:t>
            </w:r>
          </w:p>
        </w:tc>
      </w:tr>
    </w:tbl>
    <w:p w14:paraId="20E666DB" w14:textId="77777777" w:rsidR="00BD4511" w:rsidRDefault="00D14AF3">
      <w:pPr>
        <w:pStyle w:val="Heading2"/>
      </w:pPr>
      <w:r>
        <w:t>Recommended Deliverables</w:t>
      </w:r>
    </w:p>
    <w:p w14:paraId="4204AA1D" w14:textId="77777777" w:rsidR="00BD4511" w:rsidRDefault="00D14AF3">
      <w:pPr>
        <w:pStyle w:val="ListBullet"/>
      </w:pPr>
      <w:r>
        <w:t>Conversion strategy</w:t>
      </w:r>
    </w:p>
    <w:p w14:paraId="47FEEA1C" w14:textId="77777777" w:rsidR="00BD4511" w:rsidRDefault="00D14AF3">
      <w:pPr>
        <w:pStyle w:val="ListBullet"/>
      </w:pPr>
      <w:r>
        <w:t>Current-state inventory</w:t>
      </w:r>
    </w:p>
    <w:p w14:paraId="19680A44" w14:textId="77777777" w:rsidR="00BD4511" w:rsidRDefault="00D14AF3">
      <w:pPr>
        <w:pStyle w:val="ListBullet"/>
      </w:pPr>
      <w:r>
        <w:t>Target architecture</w:t>
      </w:r>
    </w:p>
    <w:p w14:paraId="475EA13A" w14:textId="77777777" w:rsidR="00BD4511" w:rsidRDefault="00D14AF3">
      <w:pPr>
        <w:pStyle w:val="ListBullet"/>
      </w:pPr>
      <w:r>
        <w:t>Plan provision matrix</w:t>
      </w:r>
    </w:p>
    <w:p w14:paraId="145C15B3" w14:textId="77777777" w:rsidR="00BD4511" w:rsidRDefault="00D14AF3">
      <w:pPr>
        <w:pStyle w:val="ListBullet"/>
      </w:pPr>
      <w:r>
        <w:t>Field mapping matrix</w:t>
      </w:r>
    </w:p>
    <w:p w14:paraId="2BB92F86" w14:textId="77777777" w:rsidR="00BD4511" w:rsidRDefault="00D14AF3">
      <w:pPr>
        <w:pStyle w:val="ListBullet"/>
      </w:pPr>
      <w:r>
        <w:t>Gap analysis</w:t>
      </w:r>
    </w:p>
    <w:p w14:paraId="7A60E3B2" w14:textId="77777777" w:rsidR="00BD4511" w:rsidRDefault="00D14AF3">
      <w:pPr>
        <w:pStyle w:val="ListBullet"/>
      </w:pPr>
      <w:r>
        <w:t>ETL specifications</w:t>
      </w:r>
    </w:p>
    <w:p w14:paraId="720C1075" w14:textId="77777777" w:rsidR="00BD4511" w:rsidRDefault="00D14AF3">
      <w:pPr>
        <w:pStyle w:val="ListBullet"/>
      </w:pPr>
      <w:r>
        <w:t>Interface inventory</w:t>
      </w:r>
    </w:p>
    <w:p w14:paraId="53E04ED1" w14:textId="77777777" w:rsidR="00BD4511" w:rsidRDefault="00D14AF3">
      <w:pPr>
        <w:pStyle w:val="ListBullet"/>
      </w:pPr>
      <w:r>
        <w:t>Test strategy</w:t>
      </w:r>
    </w:p>
    <w:p w14:paraId="5F3C7A92" w14:textId="77777777" w:rsidR="00BD4511" w:rsidRDefault="00D14AF3">
      <w:pPr>
        <w:pStyle w:val="ListBullet"/>
      </w:pPr>
      <w:r>
        <w:t>Reconciliation reports</w:t>
      </w:r>
    </w:p>
    <w:p w14:paraId="2E371A4B" w14:textId="77777777" w:rsidR="00BD4511" w:rsidRDefault="00D14AF3">
      <w:pPr>
        <w:pStyle w:val="ListBullet"/>
      </w:pPr>
      <w:r>
        <w:t>Cutover plan</w:t>
      </w:r>
    </w:p>
    <w:p w14:paraId="12F86E44" w14:textId="77777777" w:rsidR="00BD4511" w:rsidRDefault="00D14AF3">
      <w:pPr>
        <w:pStyle w:val="ListBullet"/>
      </w:pPr>
      <w:r>
        <w:t>Risk register</w:t>
      </w:r>
    </w:p>
    <w:p w14:paraId="5FAAD0F6" w14:textId="77777777" w:rsidR="00BD4511" w:rsidRDefault="00D14AF3">
      <w:pPr>
        <w:pStyle w:val="ListBullet"/>
      </w:pPr>
      <w:r>
        <w:t>Training materials</w:t>
      </w:r>
    </w:p>
    <w:p w14:paraId="371F584A" w14:textId="77777777" w:rsidR="00BD4511" w:rsidRDefault="00D14AF3">
      <w:pPr>
        <w:pStyle w:val="ListBullet"/>
      </w:pPr>
      <w:r>
        <w:lastRenderedPageBreak/>
        <w:t>Hypercare plan</w:t>
      </w:r>
    </w:p>
    <w:p w14:paraId="488AF070" w14:textId="77777777" w:rsidR="00BD4511" w:rsidRDefault="00D14AF3">
      <w:pPr>
        <w:pStyle w:val="Heading2"/>
      </w:pPr>
      <w:r>
        <w:t>Vision for the Conversion Application</w:t>
      </w:r>
    </w:p>
    <w:p w14:paraId="1536E590" w14:textId="77777777" w:rsidR="00BD4511" w:rsidRDefault="00D14AF3">
      <w:r>
        <w:t>The application should become an end-to-end conversion platform that combines document intelligence, configurable field taxonomies, workflow orchestration, metadata-driven mapping, AI-assisted recommendations, automated ETL, reconciliation, issue management, dashboards, reporting, and auditability. The objective is to reduce manual analysis, improve consistency, shorten conversion timelines, and increase confidence in production migrations.</w:t>
      </w:r>
    </w:p>
    <w:sectPr w:rsidR="00BD45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5235509">
    <w:abstractNumId w:val="8"/>
  </w:num>
  <w:num w:numId="2" w16cid:durableId="1936940410">
    <w:abstractNumId w:val="6"/>
  </w:num>
  <w:num w:numId="3" w16cid:durableId="625046024">
    <w:abstractNumId w:val="5"/>
  </w:num>
  <w:num w:numId="4" w16cid:durableId="601650733">
    <w:abstractNumId w:val="4"/>
  </w:num>
  <w:num w:numId="5" w16cid:durableId="220403586">
    <w:abstractNumId w:val="7"/>
  </w:num>
  <w:num w:numId="6" w16cid:durableId="1123499040">
    <w:abstractNumId w:val="3"/>
  </w:num>
  <w:num w:numId="7" w16cid:durableId="1895387256">
    <w:abstractNumId w:val="2"/>
  </w:num>
  <w:num w:numId="8" w16cid:durableId="1982802064">
    <w:abstractNumId w:val="1"/>
  </w:num>
  <w:num w:numId="9" w16cid:durableId="849950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46F3"/>
    <w:rsid w:val="008169C3"/>
    <w:rsid w:val="00AA1D8D"/>
    <w:rsid w:val="00B47730"/>
    <w:rsid w:val="00BD4511"/>
    <w:rsid w:val="00CB0664"/>
    <w:rsid w:val="00D14A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30F82"/>
  <w14:defaultImageDpi w14:val="300"/>
  <w15:docId w15:val="{C3C02B4D-DD70-42AD-847E-959ED0C94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603</Words>
  <Characters>4566</Characters>
  <Application>Microsoft Office Word</Application>
  <DocSecurity>0</DocSecurity>
  <Lines>130</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Harris</cp:lastModifiedBy>
  <cp:revision>2</cp:revision>
  <dcterms:created xsi:type="dcterms:W3CDTF">2026-07-05T18:44:00Z</dcterms:created>
  <dcterms:modified xsi:type="dcterms:W3CDTF">2026-07-05T18:44:00Z</dcterms:modified>
  <cp:category/>
</cp:coreProperties>
</file>