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pPr>
        <w:spacing w:after="200" w:before="0"/>
        <w:jc w:val="center"/>
      </w:pPr>
      <w:r>
        <w:drawing>
          <wp:inline distT="0" distB="0" distL="0" distR="0">
            <wp:extent cx="1428750" cy="857250"/>
            <wp:effectExtent t="0" r="0" b="0" l="0"/>
            <wp:docPr id="1" name="RTG_Logo" descr="Rainbow Tourism Group Limited" title="RTG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857250"/>
                    </a:xfrm>
                    <a:prstGeom prst="rect">
                      <a:avLst/>
                    </a:prstGeom>
                  </pic:spPr>
                </pic:pic>
              </a:graphicData>
            </a:graphic>
          </wp:inline>
        </w:drawing>
      </w:r>
    </w:p>
    <w:p>
      <w:pPr>
        <w:spacing w:after="0" w:before="800"/>
      </w:pPr>
    </w:p>
    <w:p>
      <w:pPr>
        <w:spacing w:after="80" w:before="0"/>
        <w:jc w:val="center"/>
      </w:pPr>
      <w:r>
        <w:rPr>
          <w:rFonts w:ascii="Arial" w:cs="Arial" w:eastAsia="Arial" w:hAnsi="Arial"/>
          <w:color w:val="666666"/>
          <w:sz w:val="22"/>
          <w:szCs w:val="22"/>
        </w:rPr>
        <w:t xml:space="preserve">Rainbow Tourism Group Limited</w:t>
      </w:r>
    </w:p>
    <w:p>
      <w:pPr>
        <w:spacing w:after="0" w:before="1600"/>
      </w:pPr>
    </w:p>
    <w:p>
      <w:pPr>
        <w:pBdr>
          <w:top w:val="single" w:color="5C3317" w:sz="8"/>
          <w:bottom w:val="single" w:color="5C3317" w:sz="8"/>
        </w:pBdr>
        <w:spacing w:after="200" w:before="200"/>
        <w:jc w:val="center"/>
      </w:pPr>
      <w:r>
        <w:rPr>
          <w:rFonts w:ascii="Arial" w:cs="Arial" w:eastAsia="Arial" w:hAnsi="Arial"/>
          <w:b/>
          <w:bCs/>
          <w:color w:val="5C3317"/>
          <w:sz w:val="52"/>
          <w:szCs w:val="52"/>
        </w:rPr>
        <w:t xml:space="preserve">THE CIRCLE</w:t>
      </w:r>
    </w:p>
    <w:p>
      <w:pPr>
        <w:spacing w:after="0" w:before="800"/>
      </w:pPr>
    </w:p>
    <w:p>
      <w:pPr>
        <w:spacing w:after="120" w:before="0"/>
        <w:jc w:val="center"/>
      </w:pPr>
      <w:r>
        <w:rPr>
          <w:rFonts w:ascii="Arial" w:cs="Arial" w:eastAsia="Arial" w:hAnsi="Arial"/>
          <w:color w:val="5C3317"/>
          <w:sz w:val="32"/>
          <w:szCs w:val="32"/>
        </w:rPr>
        <w:t xml:space="preserve">Enterprise Approval Platform</w:t>
      </w:r>
    </w:p>
    <w:p>
      <w:pPr>
        <w:spacing w:after="80" w:before="0"/>
        <w:jc w:val="center"/>
      </w:pPr>
      <w:r>
        <w:rPr>
          <w:rFonts w:ascii="Arial" w:cs="Arial" w:eastAsia="Arial" w:hAnsi="Arial"/>
          <w:b/>
          <w:bCs/>
          <w:color w:val="B8860B"/>
          <w:spacing w:val="60"/>
          <w:sz w:val="24"/>
          <w:szCs w:val="24"/>
        </w:rPr>
        <w:t xml:space="preserve">B U S I N E S S   C A S E</w:t>
      </w:r>
    </w:p>
    <w:p>
      <w:pPr>
        <w:spacing w:after="0" w:before="24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tblGrid>
      <w:tr>
        <w:tc>
          <w:tcPr>
            <w:tcW w:type="dxa" w:w="2200"/>
            <w:tcBorders>
              <w:top w:val="single" w:color="D0C0A0" w:sz="4"/>
              <w:left w:val="single" w:color="D0C0A0" w:sz="4"/>
              <w:bottom w:val="single" w:color="D0C0A0" w:sz="4"/>
              <w:right w:val="single" w:color="D0C0A0" w:sz="4"/>
            </w:tcBorders>
            <w:shd w:fill="F5EFE6" w:val="clear"/>
            <w:tcMar>
              <w:top w:type="dxa" w:w="60"/>
              <w:left w:type="dxa" w:w="100"/>
              <w:bottom w:type="dxa" w:w="60"/>
              <w:right w:type="dxa" w:w="100"/>
            </w:tcMar>
          </w:tcPr>
          <w:p>
            <w:r>
              <w:rPr>
                <w:rFonts w:ascii="Arial" w:cs="Arial" w:eastAsia="Arial" w:hAnsi="Arial"/>
                <w:b/>
                <w:bCs/>
                <w:color w:val="5C3317"/>
                <w:sz w:val="17"/>
                <w:szCs w:val="17"/>
              </w:rPr>
              <w:t xml:space="preserve">Document Reference</w:t>
            </w:r>
          </w:p>
        </w:tc>
        <w:tc>
          <w:tcPr>
            <w:tcW w:type="dxa" w:w="2800"/>
            <w:tcBorders>
              <w:top w:val="single" w:color="D0C0A0" w:sz="4"/>
              <w:left w:val="single" w:color="D0C0A0" w:sz="4"/>
              <w:bottom w:val="single" w:color="D0C0A0" w:sz="4"/>
              <w:right w:val="single" w:color="D0C0A0" w:sz="4"/>
            </w:tcBorders>
            <w:shd w:fill="F5EFE6" w:val="clear"/>
            <w:tcMar>
              <w:top w:type="dxa" w:w="60"/>
              <w:left w:type="dxa" w:w="100"/>
              <w:bottom w:type="dxa" w:w="60"/>
              <w:right w:type="dxa" w:w="100"/>
            </w:tcMar>
          </w:tcPr>
          <w:p>
            <w:r>
              <w:rPr>
                <w:rFonts w:ascii="Arial" w:cs="Arial" w:eastAsia="Arial" w:hAnsi="Arial"/>
                <w:color w:val="1A1A1A"/>
                <w:sz w:val="17"/>
                <w:szCs w:val="17"/>
              </w:rPr>
              <w:t xml:space="preserve">RTG-BC-CIRCLE-001</w:t>
            </w:r>
          </w:p>
        </w:tc>
      </w:tr>
      <w:tr>
        <w:tc>
          <w:tcPr>
            <w:tcW w:type="dxa" w:w="2200"/>
            <w:tcBorders>
              <w:top w:val="single" w:color="D0C0A0" w:sz="4"/>
              <w:left w:val="single" w:color="D0C0A0" w:sz="4"/>
              <w:bottom w:val="single" w:color="D0C0A0" w:sz="4"/>
              <w:right w:val="single" w:color="D0C0A0" w:sz="4"/>
            </w:tcBorders>
            <w:shd w:fill="FFFFFF" w:val="clear"/>
            <w:tcMar>
              <w:top w:type="dxa" w:w="60"/>
              <w:left w:type="dxa" w:w="100"/>
              <w:bottom w:type="dxa" w:w="60"/>
              <w:right w:type="dxa" w:w="100"/>
            </w:tcMar>
          </w:tcPr>
          <w:p>
            <w:r>
              <w:rPr>
                <w:rFonts w:ascii="Arial" w:cs="Arial" w:eastAsia="Arial" w:hAnsi="Arial"/>
                <w:b/>
                <w:bCs/>
                <w:color w:val="5C3317"/>
                <w:sz w:val="17"/>
                <w:szCs w:val="17"/>
              </w:rPr>
              <w:t xml:space="preserve">Version</w:t>
            </w:r>
          </w:p>
        </w:tc>
        <w:tc>
          <w:tcPr>
            <w:tcW w:type="dxa" w:w="2800"/>
            <w:tcBorders>
              <w:top w:val="single" w:color="D0C0A0" w:sz="4"/>
              <w:left w:val="single" w:color="D0C0A0" w:sz="4"/>
              <w:bottom w:val="single" w:color="D0C0A0" w:sz="4"/>
              <w:right w:val="single" w:color="D0C0A0" w:sz="4"/>
            </w:tcBorders>
            <w:shd w:fill="FFFFFF" w:val="clear"/>
            <w:tcMar>
              <w:top w:type="dxa" w:w="60"/>
              <w:left w:type="dxa" w:w="100"/>
              <w:bottom w:type="dxa" w:w="60"/>
              <w:right w:type="dxa" w:w="100"/>
            </w:tcMar>
          </w:tcPr>
          <w:p>
            <w:r>
              <w:rPr>
                <w:rFonts w:ascii="Arial" w:cs="Arial" w:eastAsia="Arial" w:hAnsi="Arial"/>
                <w:color w:val="1A1A1A"/>
                <w:sz w:val="17"/>
                <w:szCs w:val="17"/>
              </w:rPr>
              <w:t xml:space="preserve">1.0</w:t>
            </w:r>
          </w:p>
        </w:tc>
      </w:tr>
      <w:tr>
        <w:tc>
          <w:tcPr>
            <w:tcW w:type="dxa" w:w="2200"/>
            <w:tcBorders>
              <w:top w:val="single" w:color="D0C0A0" w:sz="4"/>
              <w:left w:val="single" w:color="D0C0A0" w:sz="4"/>
              <w:bottom w:val="single" w:color="D0C0A0" w:sz="4"/>
              <w:right w:val="single" w:color="D0C0A0" w:sz="4"/>
            </w:tcBorders>
            <w:shd w:fill="F5EFE6" w:val="clear"/>
            <w:tcMar>
              <w:top w:type="dxa" w:w="60"/>
              <w:left w:type="dxa" w:w="100"/>
              <w:bottom w:type="dxa" w:w="60"/>
              <w:right w:type="dxa" w:w="100"/>
            </w:tcMar>
          </w:tcPr>
          <w:p>
            <w:r>
              <w:rPr>
                <w:rFonts w:ascii="Arial" w:cs="Arial" w:eastAsia="Arial" w:hAnsi="Arial"/>
                <w:b/>
                <w:bCs/>
                <w:color w:val="5C3317"/>
                <w:sz w:val="17"/>
                <w:szCs w:val="17"/>
              </w:rPr>
              <w:t xml:space="preserve">Date</w:t>
            </w:r>
          </w:p>
        </w:tc>
        <w:tc>
          <w:tcPr>
            <w:tcW w:type="dxa" w:w="2800"/>
            <w:tcBorders>
              <w:top w:val="single" w:color="D0C0A0" w:sz="4"/>
              <w:left w:val="single" w:color="D0C0A0" w:sz="4"/>
              <w:bottom w:val="single" w:color="D0C0A0" w:sz="4"/>
              <w:right w:val="single" w:color="D0C0A0" w:sz="4"/>
            </w:tcBorders>
            <w:shd w:fill="F5EFE6" w:val="clear"/>
            <w:tcMar>
              <w:top w:type="dxa" w:w="60"/>
              <w:left w:type="dxa" w:w="100"/>
              <w:bottom w:type="dxa" w:w="60"/>
              <w:right w:type="dxa" w:w="100"/>
            </w:tcMar>
          </w:tcPr>
          <w:p>
            <w:r>
              <w:rPr>
                <w:rFonts w:ascii="Arial" w:cs="Arial" w:eastAsia="Arial" w:hAnsi="Arial"/>
                <w:color w:val="1A1A1A"/>
                <w:sz w:val="17"/>
                <w:szCs w:val="17"/>
              </w:rPr>
              <w:t xml:space="preserve">16 June 2026</w:t>
            </w:r>
          </w:p>
        </w:tc>
      </w:tr>
      <w:tr>
        <w:tc>
          <w:tcPr>
            <w:tcW w:type="dxa" w:w="2200"/>
            <w:tcBorders>
              <w:top w:val="single" w:color="D0C0A0" w:sz="4"/>
              <w:left w:val="single" w:color="D0C0A0" w:sz="4"/>
              <w:bottom w:val="single" w:color="D0C0A0" w:sz="4"/>
              <w:right w:val="single" w:color="D0C0A0" w:sz="4"/>
            </w:tcBorders>
            <w:shd w:fill="FFFFFF" w:val="clear"/>
            <w:tcMar>
              <w:top w:type="dxa" w:w="60"/>
              <w:left w:type="dxa" w:w="100"/>
              <w:bottom w:type="dxa" w:w="60"/>
              <w:right w:type="dxa" w:w="100"/>
            </w:tcMar>
          </w:tcPr>
          <w:p>
            <w:r>
              <w:rPr>
                <w:rFonts w:ascii="Arial" w:cs="Arial" w:eastAsia="Arial" w:hAnsi="Arial"/>
                <w:b/>
                <w:bCs/>
                <w:color w:val="5C3317"/>
                <w:sz w:val="17"/>
                <w:szCs w:val="17"/>
              </w:rPr>
              <w:t xml:space="preserve">Status</w:t>
            </w:r>
          </w:p>
        </w:tc>
        <w:tc>
          <w:tcPr>
            <w:tcW w:type="dxa" w:w="2800"/>
            <w:tcBorders>
              <w:top w:val="single" w:color="D0C0A0" w:sz="4"/>
              <w:left w:val="single" w:color="D0C0A0" w:sz="4"/>
              <w:bottom w:val="single" w:color="D0C0A0" w:sz="4"/>
              <w:right w:val="single" w:color="D0C0A0" w:sz="4"/>
            </w:tcBorders>
            <w:shd w:fill="FFFFFF" w:val="clear"/>
            <w:tcMar>
              <w:top w:type="dxa" w:w="60"/>
              <w:left w:type="dxa" w:w="100"/>
              <w:bottom w:type="dxa" w:w="60"/>
              <w:right w:type="dxa" w:w="100"/>
            </w:tcMar>
          </w:tcPr>
          <w:p>
            <w:r>
              <w:rPr>
                <w:rFonts w:ascii="Arial" w:cs="Arial" w:eastAsia="Arial" w:hAnsi="Arial"/>
                <w:color w:val="1A1A1A"/>
                <w:sz w:val="17"/>
                <w:szCs w:val="17"/>
              </w:rPr>
              <w:t xml:space="preserve">Draft — Pending Approval</w:t>
            </w:r>
          </w:p>
        </w:tc>
      </w:tr>
      <w:tr>
        <w:tc>
          <w:tcPr>
            <w:tcW w:type="dxa" w:w="2200"/>
            <w:tcBorders>
              <w:top w:val="single" w:color="D0C0A0" w:sz="4"/>
              <w:left w:val="single" w:color="D0C0A0" w:sz="4"/>
              <w:bottom w:val="single" w:color="D0C0A0" w:sz="4"/>
              <w:right w:val="single" w:color="D0C0A0" w:sz="4"/>
            </w:tcBorders>
            <w:shd w:fill="F5EFE6" w:val="clear"/>
            <w:tcMar>
              <w:top w:type="dxa" w:w="60"/>
              <w:left w:type="dxa" w:w="100"/>
              <w:bottom w:type="dxa" w:w="60"/>
              <w:right w:type="dxa" w:w="100"/>
            </w:tcMar>
          </w:tcPr>
          <w:p>
            <w:r>
              <w:rPr>
                <w:rFonts w:ascii="Arial" w:cs="Arial" w:eastAsia="Arial" w:hAnsi="Arial"/>
                <w:b/>
                <w:bCs/>
                <w:color w:val="5C3317"/>
                <w:sz w:val="17"/>
                <w:szCs w:val="17"/>
              </w:rPr>
              <w:t xml:space="preserve">Classification</w:t>
            </w:r>
          </w:p>
        </w:tc>
        <w:tc>
          <w:tcPr>
            <w:tcW w:type="dxa" w:w="2800"/>
            <w:tcBorders>
              <w:top w:val="single" w:color="D0C0A0" w:sz="4"/>
              <w:left w:val="single" w:color="D0C0A0" w:sz="4"/>
              <w:bottom w:val="single" w:color="D0C0A0" w:sz="4"/>
              <w:right w:val="single" w:color="D0C0A0" w:sz="4"/>
            </w:tcBorders>
            <w:shd w:fill="F5EFE6" w:val="clear"/>
            <w:tcMar>
              <w:top w:type="dxa" w:w="60"/>
              <w:left w:type="dxa" w:w="100"/>
              <w:bottom w:type="dxa" w:w="60"/>
              <w:right w:type="dxa" w:w="100"/>
            </w:tcMar>
          </w:tcPr>
          <w:p>
            <w:r>
              <w:rPr>
                <w:rFonts w:ascii="Arial" w:cs="Arial" w:eastAsia="Arial" w:hAnsi="Arial"/>
                <w:color w:val="1A1A1A"/>
                <w:sz w:val="17"/>
                <w:szCs w:val="17"/>
              </w:rPr>
              <w:t xml:space="preserve">INTERNAL — CONFIDENTIAL</w:t>
            </w:r>
          </w:p>
        </w:tc>
      </w:tr>
      <w:tr>
        <w:tc>
          <w:tcPr>
            <w:tcW w:type="dxa" w:w="2200"/>
            <w:tcBorders>
              <w:top w:val="single" w:color="D0C0A0" w:sz="4"/>
              <w:left w:val="single" w:color="D0C0A0" w:sz="4"/>
              <w:bottom w:val="single" w:color="D0C0A0" w:sz="4"/>
              <w:right w:val="single" w:color="D0C0A0" w:sz="4"/>
            </w:tcBorders>
            <w:shd w:fill="FFFFFF" w:val="clear"/>
            <w:tcMar>
              <w:top w:type="dxa" w:w="60"/>
              <w:left w:type="dxa" w:w="100"/>
              <w:bottom w:type="dxa" w:w="60"/>
              <w:right w:type="dxa" w:w="100"/>
            </w:tcMar>
          </w:tcPr>
          <w:p>
            <w:r>
              <w:rPr>
                <w:rFonts w:ascii="Arial" w:cs="Arial" w:eastAsia="Arial" w:hAnsi="Arial"/>
                <w:b/>
                <w:bCs/>
                <w:color w:val="5C3317"/>
                <w:sz w:val="17"/>
                <w:szCs w:val="17"/>
              </w:rPr>
              <w:t xml:space="preserve">Document Owner</w:t>
            </w:r>
          </w:p>
        </w:tc>
        <w:tc>
          <w:tcPr>
            <w:tcW w:type="dxa" w:w="2800"/>
            <w:tcBorders>
              <w:top w:val="single" w:color="D0C0A0" w:sz="4"/>
              <w:left w:val="single" w:color="D0C0A0" w:sz="4"/>
              <w:bottom w:val="single" w:color="D0C0A0" w:sz="4"/>
              <w:right w:val="single" w:color="D0C0A0" w:sz="4"/>
            </w:tcBorders>
            <w:shd w:fill="FFFFFF" w:val="clear"/>
            <w:tcMar>
              <w:top w:type="dxa" w:w="60"/>
              <w:left w:type="dxa" w:w="100"/>
              <w:bottom w:type="dxa" w:w="60"/>
              <w:right w:type="dxa" w:w="100"/>
            </w:tcMar>
          </w:tcPr>
          <w:p>
            <w:r>
              <w:rPr>
                <w:rFonts w:ascii="Arial" w:cs="Arial" w:eastAsia="Arial" w:hAnsi="Arial"/>
                <w:color w:val="1A1A1A"/>
                <w:sz w:val="17"/>
                <w:szCs w:val="17"/>
              </w:rPr>
              <w:t xml:space="preserve">IT Director / Project Sponsor</w:t>
            </w:r>
          </w:p>
        </w:tc>
      </w:tr>
    </w:tbl>
    <w:p>
      <w:pPr>
        <w:spacing w:after="0" w:before="0"/>
        <w:jc w:val="center"/>
      </w:pPr>
    </w:p>
    <w:p>
      <w:pPr>
        <w:spacing w:after="0" w:before="1600"/>
      </w:pPr>
    </w:p>
    <w:p>
      <w:pPr>
        <w:spacing w:after="60" w:before="0"/>
        <w:jc w:val="center"/>
      </w:pPr>
      <w:r>
        <w:rPr>
          <w:rFonts w:ascii="Arial" w:cs="Arial" w:eastAsia="Arial" w:hAnsi="Arial"/>
          <w:b/>
          <w:bCs/>
          <w:color w:val="5C3317"/>
          <w:sz w:val="18"/>
          <w:szCs w:val="18"/>
        </w:rPr>
        <w:t xml:space="preserve">Approval</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tblGrid>
      <w:tr>
        <w:tc>
          <w:tcPr>
            <w:tcW w:type="dxa" w:w="2500"/>
            <w:tcBorders>
              <w:top w:val="single" w:color="D0C0A0" w:sz="4"/>
              <w:left w:val="single" w:color="D0C0A0" w:sz="4"/>
              <w:bottom w:val="single" w:color="D0C0A0" w:sz="4"/>
              <w:right w:val="single" w:color="D0C0A0" w:sz="4"/>
            </w:tcBorders>
            <w:shd w:fill="5C3317" w:val="clear"/>
            <w:tcMar>
              <w:top w:type="dxa" w:w="80"/>
              <w:left w:type="dxa" w:w="120"/>
              <w:bottom w:type="dxa" w:w="80"/>
              <w:right w:type="dxa" w:w="120"/>
            </w:tcMar>
            <w:vAlign w:val="center"/>
          </w:tcPr>
          <w:p>
            <w:r>
              <w:rPr>
                <w:rFonts w:ascii="Arial" w:cs="Arial" w:eastAsia="Arial" w:hAnsi="Arial"/>
                <w:b/>
                <w:bCs/>
                <w:color w:val="FFFFFF"/>
                <w:sz w:val="18"/>
                <w:szCs w:val="18"/>
              </w:rPr>
              <w:t xml:space="preserve">Role</w:t>
            </w:r>
          </w:p>
        </w:tc>
        <w:tc>
          <w:tcPr>
            <w:tcW w:type="dxa" w:w="2500"/>
            <w:tcBorders>
              <w:top w:val="single" w:color="D0C0A0" w:sz="4"/>
              <w:left w:val="single" w:color="D0C0A0" w:sz="4"/>
              <w:bottom w:val="single" w:color="D0C0A0" w:sz="4"/>
              <w:right w:val="single" w:color="D0C0A0" w:sz="4"/>
            </w:tcBorders>
            <w:shd w:fill="5C3317" w:val="clear"/>
            <w:tcMar>
              <w:top w:type="dxa" w:w="80"/>
              <w:left w:type="dxa" w:w="120"/>
              <w:bottom w:type="dxa" w:w="80"/>
              <w:right w:type="dxa" w:w="120"/>
            </w:tcMar>
            <w:vAlign w:val="center"/>
          </w:tcPr>
          <w:p>
            <w:r>
              <w:rPr>
                <w:rFonts w:ascii="Arial" w:cs="Arial" w:eastAsia="Arial" w:hAnsi="Arial"/>
                <w:b/>
                <w:bCs/>
                <w:color w:val="FFFFFF"/>
                <w:sz w:val="18"/>
                <w:szCs w:val="18"/>
              </w:rPr>
              <w:t xml:space="preserve">Name / Title</w:t>
            </w:r>
          </w:p>
        </w:tc>
        <w:tc>
          <w:tcPr>
            <w:tcW w:type="dxa" w:w="2000"/>
            <w:tcBorders>
              <w:top w:val="single" w:color="D0C0A0" w:sz="4"/>
              <w:left w:val="single" w:color="D0C0A0" w:sz="4"/>
              <w:bottom w:val="single" w:color="D0C0A0" w:sz="4"/>
              <w:right w:val="single" w:color="D0C0A0" w:sz="4"/>
            </w:tcBorders>
            <w:shd w:fill="5C3317" w:val="clear"/>
            <w:tcMar>
              <w:top w:type="dxa" w:w="80"/>
              <w:left w:type="dxa" w:w="120"/>
              <w:bottom w:type="dxa" w:w="80"/>
              <w:right w:type="dxa" w:w="120"/>
            </w:tcMar>
            <w:vAlign w:val="center"/>
          </w:tcPr>
          <w:p>
            <w:r>
              <w:rPr>
                <w:rFonts w:ascii="Arial" w:cs="Arial" w:eastAsia="Arial" w:hAnsi="Arial"/>
                <w:b/>
                <w:bCs/>
                <w:color w:val="FFFFFF"/>
                <w:sz w:val="18"/>
                <w:szCs w:val="18"/>
              </w:rPr>
              <w:t xml:space="preserve">Date</w:t>
            </w:r>
          </w:p>
        </w:tc>
      </w:tr>
      <w:tr>
        <w:tc>
          <w:tcPr>
            <w:tcW w:type="dxa" w:w="2500"/>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b/>
                <w:bCs/>
                <w:color w:val="1A1A1A"/>
                <w:sz w:val="18"/>
                <w:szCs w:val="18"/>
              </w:rPr>
              <w:t xml:space="preserve">Prepared by</w:t>
            </w:r>
          </w:p>
        </w:tc>
        <w:tc>
          <w:tcPr>
            <w:tcW w:type="dxa" w:w="2500"/>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
            </w:r>
          </w:p>
        </w:tc>
        <w:tc>
          <w:tcPr>
            <w:tcW w:type="dxa" w:w="2000"/>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
            </w:r>
          </w:p>
        </w:tc>
      </w:tr>
      <w:tr>
        <w:tc>
          <w:tcPr>
            <w:tcW w:type="dxa" w:w="2500"/>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A"/>
                <w:sz w:val="18"/>
                <w:szCs w:val="18"/>
              </w:rPr>
              <w:t xml:space="preserve">Reviewed by</w:t>
            </w:r>
          </w:p>
        </w:tc>
        <w:tc>
          <w:tcPr>
            <w:tcW w:type="dxa" w:w="2500"/>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
            </w:r>
          </w:p>
        </w:tc>
        <w:tc>
          <w:tcPr>
            <w:tcW w:type="dxa" w:w="2000"/>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
            </w:r>
          </w:p>
        </w:tc>
      </w:tr>
      <w:tr>
        <w:tc>
          <w:tcPr>
            <w:tcW w:type="dxa" w:w="2500"/>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b/>
                <w:bCs/>
                <w:color w:val="1A1A1A"/>
                <w:sz w:val="18"/>
                <w:szCs w:val="18"/>
              </w:rPr>
              <w:t xml:space="preserve">Approved by</w:t>
            </w:r>
          </w:p>
        </w:tc>
        <w:tc>
          <w:tcPr>
            <w:tcW w:type="dxa" w:w="2500"/>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
            </w:r>
          </w:p>
        </w:tc>
        <w:tc>
          <w:tcPr>
            <w:tcW w:type="dxa" w:w="2000"/>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
            </w:r>
          </w:p>
        </w:tc>
      </w:tr>
    </w:tbl>
    <w:p>
      <w:r>
        <w:br w:type="page"/>
      </w:r>
    </w:p>
    <w:p>
      <w:pPr>
        <w:sectPr>
          <w:pgSz w:w="11906" w:h="16838" w:orient="portrait"/>
          <w:pgMar w:top="1440" w:right="1440" w:bottom="1440" w:left="1440" w:header="708" w:footer="708" w:gutter="0"/>
          <w:pgNumType/>
          <w:docGrid w:linePitch="360"/>
        </w:sectPr>
      </w:pPr>
    </w:p>
    <w:p>
      <w:pPr>
        <w:pStyle w:val="Heading1"/>
        <w:spacing w:after="120" w:before="320"/>
      </w:pPr>
      <w:r>
        <w:rPr>
          <w:rFonts w:ascii="Arial" w:cs="Arial" w:eastAsia="Arial" w:hAnsi="Arial"/>
          <w:b/>
          <w:bCs/>
          <w:color w:val="5C3317"/>
          <w:sz w:val="26"/>
          <w:szCs w:val="26"/>
        </w:rPr>
        <w:t xml:space="preserve">Document Control</w:t>
      </w:r>
    </w:p>
    <w:p>
      <w:pPr>
        <w:pBdr>
          <w:bottom w:val="single" w:color="B8860B" w:sz="6"/>
        </w:pBdr>
        <w:spacing w:after="120" w:before="0"/>
      </w:pPr>
    </w:p>
    <w:p>
      <w:pPr>
        <w:pStyle w:val="Heading2"/>
        <w:spacing w:after="80" w:before="220"/>
      </w:pPr>
      <w:r>
        <w:rPr>
          <w:rFonts w:ascii="Arial" w:cs="Arial" w:eastAsia="Arial" w:hAnsi="Arial"/>
          <w:b/>
          <w:bCs/>
          <w:color w:val="5C3317"/>
          <w:sz w:val="22"/>
          <w:szCs w:val="22"/>
        </w:rPr>
        <w:t xml:space="preserve">Change History</w:t>
      </w:r>
    </w:p>
    <w:p>
      <w:pP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2226"/>
        <w:gridCol w:w="4000"/>
      </w:tblGrid>
      <w:tr>
        <w:tc>
          <w:tcPr>
            <w:tcW w:type="dxa" w:w="1000"/>
            <w:tcBorders>
              <w:top w:val="single" w:color="D0C0A0" w:sz="4"/>
              <w:left w:val="single" w:color="D0C0A0" w:sz="4"/>
              <w:bottom w:val="single" w:color="D0C0A0" w:sz="4"/>
              <w:right w:val="single" w:color="D0C0A0" w:sz="4"/>
            </w:tcBorders>
            <w:shd w:fill="5C3317" w:val="clear"/>
            <w:tcMar>
              <w:top w:type="dxa" w:w="80"/>
              <w:left w:type="dxa" w:w="120"/>
              <w:bottom w:type="dxa" w:w="80"/>
              <w:right w:type="dxa" w:w="120"/>
            </w:tcMar>
            <w:vAlign w:val="center"/>
          </w:tcPr>
          <w:p>
            <w:r>
              <w:rPr>
                <w:rFonts w:ascii="Arial" w:cs="Arial" w:eastAsia="Arial" w:hAnsi="Arial"/>
                <w:b/>
                <w:bCs/>
                <w:color w:val="FFFFFF"/>
                <w:sz w:val="18"/>
                <w:szCs w:val="18"/>
              </w:rPr>
              <w:t xml:space="preserve">Version</w:t>
            </w:r>
          </w:p>
        </w:tc>
        <w:tc>
          <w:tcPr>
            <w:tcW w:type="dxa" w:w="1800"/>
            <w:tcBorders>
              <w:top w:val="single" w:color="D0C0A0" w:sz="4"/>
              <w:left w:val="single" w:color="D0C0A0" w:sz="4"/>
              <w:bottom w:val="single" w:color="D0C0A0" w:sz="4"/>
              <w:right w:val="single" w:color="D0C0A0" w:sz="4"/>
            </w:tcBorders>
            <w:shd w:fill="5C3317" w:val="clear"/>
            <w:tcMar>
              <w:top w:type="dxa" w:w="80"/>
              <w:left w:type="dxa" w:w="120"/>
              <w:bottom w:type="dxa" w:w="80"/>
              <w:right w:type="dxa" w:w="120"/>
            </w:tcMar>
            <w:vAlign w:val="center"/>
          </w:tcPr>
          <w:p>
            <w:r>
              <w:rPr>
                <w:rFonts w:ascii="Arial" w:cs="Arial" w:eastAsia="Arial" w:hAnsi="Arial"/>
                <w:b/>
                <w:bCs/>
                <w:color w:val="FFFFFF"/>
                <w:sz w:val="18"/>
                <w:szCs w:val="18"/>
              </w:rPr>
              <w:t xml:space="preserve">Date</w:t>
            </w:r>
          </w:p>
        </w:tc>
        <w:tc>
          <w:tcPr>
            <w:tcW w:type="dxa" w:w="2226"/>
            <w:tcBorders>
              <w:top w:val="single" w:color="D0C0A0" w:sz="4"/>
              <w:left w:val="single" w:color="D0C0A0" w:sz="4"/>
              <w:bottom w:val="single" w:color="D0C0A0" w:sz="4"/>
              <w:right w:val="single" w:color="D0C0A0" w:sz="4"/>
            </w:tcBorders>
            <w:shd w:fill="5C3317" w:val="clear"/>
            <w:tcMar>
              <w:top w:type="dxa" w:w="80"/>
              <w:left w:type="dxa" w:w="120"/>
              <w:bottom w:type="dxa" w:w="80"/>
              <w:right w:type="dxa" w:w="120"/>
            </w:tcMar>
            <w:vAlign w:val="center"/>
          </w:tcPr>
          <w:p>
            <w:r>
              <w:rPr>
                <w:rFonts w:ascii="Arial" w:cs="Arial" w:eastAsia="Arial" w:hAnsi="Arial"/>
                <w:b/>
                <w:bCs/>
                <w:color w:val="FFFFFF"/>
                <w:sz w:val="18"/>
                <w:szCs w:val="18"/>
              </w:rPr>
              <w:t xml:space="preserve">Author</w:t>
            </w:r>
          </w:p>
        </w:tc>
        <w:tc>
          <w:tcPr>
            <w:tcW w:type="dxa" w:w="4000"/>
            <w:tcBorders>
              <w:top w:val="single" w:color="D0C0A0" w:sz="4"/>
              <w:left w:val="single" w:color="D0C0A0" w:sz="4"/>
              <w:bottom w:val="single" w:color="D0C0A0" w:sz="4"/>
              <w:right w:val="single" w:color="D0C0A0" w:sz="4"/>
            </w:tcBorders>
            <w:shd w:fill="5C3317"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1000"/>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1.0</w:t>
            </w:r>
          </w:p>
        </w:tc>
        <w:tc>
          <w:tcPr>
            <w:tcW w:type="dxa" w:w="1800"/>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16 June 2026</w:t>
            </w:r>
          </w:p>
        </w:tc>
        <w:tc>
          <w:tcPr>
            <w:tcW w:type="dxa" w:w="2226"/>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IT Project Team</w:t>
            </w:r>
          </w:p>
        </w:tc>
        <w:tc>
          <w:tcPr>
            <w:tcW w:type="dxa" w:w="4000"/>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Initial draft for Executive review.</w:t>
            </w:r>
          </w:p>
        </w:tc>
      </w:tr>
    </w:tbl>
    <w:p>
      <w:pPr>
        <w:spacing w:after="0" w:before="400"/>
      </w:pPr>
    </w:p>
    <w:p>
      <w:pPr>
        <w:pStyle w:val="Heading2"/>
        <w:spacing w:after="80" w:before="220"/>
      </w:pPr>
      <w:r>
        <w:rPr>
          <w:rFonts w:ascii="Arial" w:cs="Arial" w:eastAsia="Arial" w:hAnsi="Arial"/>
          <w:b/>
          <w:bCs/>
          <w:color w:val="5C3317"/>
          <w:sz w:val="22"/>
          <w:szCs w:val="22"/>
        </w:rPr>
        <w:t xml:space="preserve">Distribution</w:t>
      </w:r>
    </w:p>
    <w:p>
      <w:pP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b/>
                <w:bCs/>
                <w:color w:val="1A1A1A"/>
                <w:sz w:val="18"/>
                <w:szCs w:val="18"/>
              </w:rPr>
              <w:t xml:space="preserve">Executive Committee</w:t>
            </w:r>
          </w:p>
        </w:tc>
        <w:tc>
          <w:tcPr>
            <w:tcW w:type="dxa" w:w="6226"/>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For approval decision.</w:t>
            </w:r>
          </w:p>
        </w:tc>
      </w:tr>
      <w:tr>
        <w:tc>
          <w:tcPr>
            <w:tcW w:type="dxa" w:w="2800"/>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A"/>
                <w:sz w:val="18"/>
                <w:szCs w:val="18"/>
              </w:rPr>
              <w:t xml:space="preserve">IT Director</w:t>
            </w:r>
          </w:p>
        </w:tc>
        <w:tc>
          <w:tcPr>
            <w:tcW w:type="dxa" w:w="6226"/>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Document owner and author.</w:t>
            </w:r>
          </w:p>
        </w:tc>
      </w:tr>
      <w:tr>
        <w:tc>
          <w:tcPr>
            <w:tcW w:type="dxa" w:w="2800"/>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b/>
                <w:bCs/>
                <w:color w:val="1A1A1A"/>
                <w:sz w:val="18"/>
                <w:szCs w:val="18"/>
              </w:rPr>
              <w:t xml:space="preserve">Finance Director</w:t>
            </w:r>
          </w:p>
        </w:tc>
        <w:tc>
          <w:tcPr>
            <w:tcW w:type="dxa" w:w="6226"/>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Stakeholder review — Finance module in scope.</w:t>
            </w:r>
          </w:p>
        </w:tc>
      </w:tr>
      <w:tr>
        <w:tc>
          <w:tcPr>
            <w:tcW w:type="dxa" w:w="2800"/>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A"/>
                <w:sz w:val="18"/>
                <w:szCs w:val="18"/>
              </w:rPr>
              <w:t xml:space="preserve">Internal Audit</w:t>
            </w:r>
          </w:p>
        </w:tc>
        <w:tc>
          <w:tcPr>
            <w:tcW w:type="dxa" w:w="6226"/>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Assurance review.</w:t>
            </w:r>
          </w:p>
        </w:tc>
      </w:tr>
      <w:tr>
        <w:tc>
          <w:tcPr>
            <w:tcW w:type="dxa" w:w="2800"/>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b/>
                <w:bCs/>
                <w:color w:val="1A1A1A"/>
                <w:sz w:val="18"/>
                <w:szCs w:val="18"/>
              </w:rPr>
              <w:t xml:space="preserve">Legal Counsel</w:t>
            </w:r>
          </w:p>
        </w:tc>
        <w:tc>
          <w:tcPr>
            <w:tcW w:type="dxa" w:w="6226"/>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Review of signature and compliance considerations.</w:t>
            </w:r>
          </w:p>
        </w:tc>
      </w:tr>
    </w:tbl>
    <w:p>
      <w:r>
        <w:br w:type="page"/>
      </w:r>
    </w:p>
    <w:p>
      <w:pPr>
        <w:pStyle w:val="Heading1"/>
        <w:spacing w:after="120" w:before="320"/>
      </w:pPr>
      <w:r>
        <w:rPr>
          <w:rFonts w:ascii="Arial" w:cs="Arial" w:eastAsia="Arial" w:hAnsi="Arial"/>
          <w:b/>
          <w:bCs/>
          <w:color w:val="5C3317"/>
          <w:sz w:val="26"/>
          <w:szCs w:val="26"/>
        </w:rPr>
        <w:t xml:space="preserve">1.  Executive Summary</w:t>
      </w:r>
    </w:p>
    <w:p>
      <w:pPr>
        <w:pBdr>
          <w:bottom w:val="single" w:color="B8860B" w:sz="6"/>
        </w:pBdr>
        <w:spacing w:after="120" w:before="0"/>
      </w:pPr>
    </w:p>
    <w:p>
      <w:pPr>
        <w:spacing w:after="100" w:before="60"/>
      </w:pPr>
      <w:r>
        <w:rPr>
          <w:rFonts w:ascii="Arial" w:cs="Arial" w:eastAsia="Arial" w:hAnsi="Arial"/>
          <w:b w:val="false"/>
          <w:bCs w:val="false"/>
          <w:i w:val="false"/>
          <w:iCs w:val="false"/>
          <w:color w:val="1A1A1A"/>
          <w:sz w:val="20"/>
          <w:szCs w:val="20"/>
        </w:rPr>
        <w:t xml:space="preserve">Rainbow Tourism Group Limited (RTG) operates across a portfolio of hospitality and tourism assets and relies on manual, paper-based, or ad hoc email-driven processes to manage internal approvals — from capital expenditure authorisation to travel requests and financial instruments. These processes carry material compliance, efficiency, and governance risk.</w:t>
      </w:r>
    </w:p>
    <w:p>
      <w:pPr>
        <w:spacing w:after="100" w:before="60"/>
      </w:pPr>
      <w:r>
        <w:rPr>
          <w:rFonts w:ascii="Arial" w:cs="Arial" w:eastAsia="Arial" w:hAnsi="Arial"/>
          <w:b w:val="false"/>
          <w:bCs w:val="false"/>
          <w:i w:val="false"/>
          <w:iCs w:val="false"/>
          <w:color w:val="1A1A1A"/>
          <w:sz w:val="20"/>
          <w:szCs w:val="20"/>
        </w:rPr>
        <w:t xml:space="preserve">This business case seeks approval for The Circle, a purpose-built, internally developed Enterprise Approval Platform that digitises, governs, and audits all approval workflows across the organisation.</w:t>
      </w:r>
    </w:p>
    <w:p>
      <w:pPr>
        <w:spacing w:after="0" w:before="800"/>
      </w:pPr>
    </w:p>
    <w:p>
      <w:pPr>
        <w:spacing w:after="100" w:before="60"/>
      </w:pPr>
      <w:r>
        <w:rPr>
          <w:rFonts w:ascii="Arial" w:cs="Arial" w:eastAsia="Arial" w:hAnsi="Arial"/>
          <w:b/>
          <w:bCs/>
          <w:i w:val="false"/>
          <w:iCs w:val="false"/>
          <w:color w:val="1A1A1A"/>
          <w:sz w:val="20"/>
          <w:szCs w:val="20"/>
        </w:rPr>
        <w:t xml:space="preserve">The Circle delivers the following outcomes:</w:t>
      </w:r>
    </w:p>
    <w:p>
      <w:pPr>
        <w:pStyle w:val="ListParagraph"/>
        <w:numPr>
          <w:ilvl w:val="0"/>
          <w:numId w:val="2"/>
        </w:numPr>
        <w:spacing w:after="60" w:before="40"/>
      </w:pPr>
      <w:r>
        <w:rPr>
          <w:rFonts w:ascii="Arial" w:cs="Arial" w:eastAsia="Arial" w:hAnsi="Arial"/>
          <w:color w:val="1A1A1A"/>
          <w:sz w:val="20"/>
          <w:szCs w:val="20"/>
        </w:rPr>
        <w:t xml:space="preserve">A single, governed digital channel for all internal approval requests.</w:t>
      </w:r>
    </w:p>
    <w:p>
      <w:pPr>
        <w:pStyle w:val="ListParagraph"/>
        <w:numPr>
          <w:ilvl w:val="0"/>
          <w:numId w:val="2"/>
        </w:numPr>
        <w:spacing w:after="60" w:before="40"/>
      </w:pPr>
      <w:r>
        <w:rPr>
          <w:rFonts w:ascii="Arial" w:cs="Arial" w:eastAsia="Arial" w:hAnsi="Arial"/>
          <w:color w:val="1A1A1A"/>
          <w:sz w:val="20"/>
          <w:szCs w:val="20"/>
        </w:rPr>
        <w:t xml:space="preserve">Cryptographically verifiable, legally defensible audit trails for every decision.</w:t>
      </w:r>
    </w:p>
    <w:p>
      <w:pPr>
        <w:pStyle w:val="ListParagraph"/>
        <w:numPr>
          <w:ilvl w:val="0"/>
          <w:numId w:val="2"/>
        </w:numPr>
        <w:spacing w:after="60" w:before="40"/>
      </w:pPr>
      <w:r>
        <w:rPr>
          <w:rFonts w:ascii="Arial" w:cs="Arial" w:eastAsia="Arial" w:hAnsi="Arial"/>
          <w:color w:val="1A1A1A"/>
          <w:sz w:val="20"/>
          <w:szCs w:val="20"/>
        </w:rPr>
        <w:t xml:space="preserve">Risk-based authentication that scales security to the value and sensitivity of each transaction.</w:t>
      </w:r>
    </w:p>
    <w:p>
      <w:pPr>
        <w:pStyle w:val="ListParagraph"/>
        <w:numPr>
          <w:ilvl w:val="0"/>
          <w:numId w:val="2"/>
        </w:numPr>
        <w:spacing w:after="60" w:before="40"/>
      </w:pPr>
      <w:r>
        <w:rPr>
          <w:rFonts w:ascii="Arial" w:cs="Arial" w:eastAsia="Arial" w:hAnsi="Arial"/>
          <w:color w:val="1A1A1A"/>
          <w:sz w:val="20"/>
          <w:szCs w:val="20"/>
        </w:rPr>
        <w:t xml:space="preserve">Real-time workflow visibility, eliminating the opacity of email-chain approvals.</w:t>
      </w:r>
    </w:p>
    <w:p>
      <w:pPr>
        <w:pStyle w:val="ListParagraph"/>
        <w:numPr>
          <w:ilvl w:val="0"/>
          <w:numId w:val="2"/>
        </w:numPr>
        <w:spacing w:after="60" w:before="40"/>
      </w:pPr>
      <w:r>
        <w:rPr>
          <w:rFonts w:ascii="Arial" w:cs="Arial" w:eastAsia="Arial" w:hAnsi="Arial"/>
          <w:color w:val="1A1A1A"/>
          <w:sz w:val="20"/>
          <w:szCs w:val="20"/>
        </w:rPr>
        <w:t xml:space="preserve">A modular architecture that supports continuous expansion — the Finance module is live, and Legal, Procurement, and HR modules are planned.</w:t>
      </w:r>
    </w:p>
    <w:p>
      <w:pPr>
        <w:spacing w:after="0" w:before="800"/>
      </w:pPr>
    </w:p>
    <w:p>
      <w:pPr>
        <w:spacing w:after="100" w:before="60"/>
      </w:pPr>
      <w:r>
        <w:rPr>
          <w:rFonts w:ascii="Arial" w:cs="Arial" w:eastAsia="Arial" w:hAnsi="Arial"/>
          <w:b w:val="false"/>
          <w:bCs w:val="false"/>
          <w:i/>
          <w:iCs/>
          <w:color w:val="1A1A1A"/>
          <w:sz w:val="20"/>
          <w:szCs w:val="20"/>
        </w:rPr>
        <w:t xml:space="preserve">The platform is substantially built and is approaching production readiness. This business case documents the strategic rationale, expected benefits, cost envelope, and approval required to proceed to full deployment.</w:t>
      </w:r>
    </w:p>
    <w:p>
      <w:r>
        <w:br w:type="page"/>
      </w:r>
    </w:p>
    <w:p>
      <w:pPr>
        <w:spacing w:after="0" w:before="400"/>
      </w:pPr>
    </w:p>
    <w:p>
      <w:pPr>
        <w:pStyle w:val="Heading1"/>
        <w:spacing w:after="120" w:before="320"/>
      </w:pPr>
      <w:r>
        <w:rPr>
          <w:rFonts w:ascii="Arial" w:cs="Arial" w:eastAsia="Arial" w:hAnsi="Arial"/>
          <w:b/>
          <w:bCs/>
          <w:color w:val="5C3317"/>
          <w:sz w:val="26"/>
          <w:szCs w:val="26"/>
        </w:rPr>
        <w:t xml:space="preserve">2.  Business Problem</w:t>
      </w:r>
    </w:p>
    <w:p>
      <w:pPr>
        <w:pBdr>
          <w:bottom w:val="single" w:color="B8860B" w:sz="6"/>
        </w:pBdr>
        <w:spacing w:after="120" w:before="0"/>
      </w:pPr>
    </w:p>
    <w:p>
      <w:pPr>
        <w:pStyle w:val="Heading2"/>
        <w:spacing w:after="80" w:before="220"/>
      </w:pPr>
      <w:r>
        <w:rPr>
          <w:rFonts w:ascii="Arial" w:cs="Arial" w:eastAsia="Arial" w:hAnsi="Arial"/>
          <w:b/>
          <w:bCs/>
          <w:color w:val="5C3317"/>
          <w:sz w:val="22"/>
          <w:szCs w:val="22"/>
        </w:rPr>
        <w:t xml:space="preserve">2.1  Current State</w:t>
      </w:r>
    </w:p>
    <w:p>
      <w:pPr>
        <w:spacing w:after="100" w:before="60"/>
      </w:pPr>
      <w:r>
        <w:rPr>
          <w:rFonts w:ascii="Arial" w:cs="Arial" w:eastAsia="Arial" w:hAnsi="Arial"/>
          <w:b w:val="false"/>
          <w:bCs w:val="false"/>
          <w:i w:val="false"/>
          <w:iCs w:val="false"/>
          <w:color w:val="1A1A1A"/>
          <w:sz w:val="20"/>
          <w:szCs w:val="20"/>
        </w:rPr>
        <w:t xml:space="preserve">RTG's current approval processes are characterised by the following weaknesses:</w:t>
      </w:r>
    </w:p>
    <w:p>
      <w:pPr>
        <w:spacing w:after="0" w:before="4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26"/>
        <w:gridCol w:w="2200"/>
        <w:gridCol w:w="2000"/>
      </w:tblGrid>
      <w:tr>
        <w:tc>
          <w:tcPr>
            <w:tcW w:type="dxa" w:w="2000"/>
            <w:tcBorders>
              <w:top w:val="single" w:color="D0C0A0" w:sz="4"/>
              <w:left w:val="single" w:color="D0C0A0" w:sz="4"/>
              <w:bottom w:val="single" w:color="D0C0A0" w:sz="4"/>
              <w:right w:val="single" w:color="D0C0A0" w:sz="4"/>
            </w:tcBorders>
            <w:shd w:fill="5C3317" w:val="clear"/>
            <w:tcMar>
              <w:top w:type="dxa" w:w="80"/>
              <w:left w:type="dxa" w:w="120"/>
              <w:bottom w:type="dxa" w:w="80"/>
              <w:right w:type="dxa" w:w="120"/>
            </w:tcMar>
            <w:vAlign w:val="center"/>
          </w:tcPr>
          <w:p>
            <w:r>
              <w:rPr>
                <w:rFonts w:ascii="Arial" w:cs="Arial" w:eastAsia="Arial" w:hAnsi="Arial"/>
                <w:b/>
                <w:bCs/>
                <w:color w:val="FFFFFF"/>
                <w:sz w:val="18"/>
                <w:szCs w:val="18"/>
              </w:rPr>
              <w:t xml:space="preserve">Problem Area</w:t>
            </w:r>
          </w:p>
        </w:tc>
        <w:tc>
          <w:tcPr>
            <w:tcW w:type="dxa" w:w="2826"/>
            <w:tcBorders>
              <w:top w:val="single" w:color="D0C0A0" w:sz="4"/>
              <w:left w:val="single" w:color="D0C0A0" w:sz="4"/>
              <w:bottom w:val="single" w:color="D0C0A0" w:sz="4"/>
              <w:right w:val="single" w:color="D0C0A0" w:sz="4"/>
            </w:tcBorders>
            <w:shd w:fill="5C3317"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c>
          <w:tcPr>
            <w:tcW w:type="dxa" w:w="2200"/>
            <w:tcBorders>
              <w:top w:val="single" w:color="D0C0A0" w:sz="4"/>
              <w:left w:val="single" w:color="D0C0A0" w:sz="4"/>
              <w:bottom w:val="single" w:color="D0C0A0" w:sz="4"/>
              <w:right w:val="single" w:color="D0C0A0" w:sz="4"/>
            </w:tcBorders>
            <w:shd w:fill="5C3317" w:val="clear"/>
            <w:tcMar>
              <w:top w:type="dxa" w:w="80"/>
              <w:left w:type="dxa" w:w="120"/>
              <w:bottom w:type="dxa" w:w="80"/>
              <w:right w:type="dxa" w:w="120"/>
            </w:tcMar>
            <w:vAlign w:val="center"/>
          </w:tcPr>
          <w:p>
            <w:r>
              <w:rPr>
                <w:rFonts w:ascii="Arial" w:cs="Arial" w:eastAsia="Arial" w:hAnsi="Arial"/>
                <w:b/>
                <w:bCs/>
                <w:color w:val="FFFFFF"/>
                <w:sz w:val="18"/>
                <w:szCs w:val="18"/>
              </w:rPr>
              <w:t xml:space="preserve">Business Impact</w:t>
            </w:r>
          </w:p>
        </w:tc>
        <w:tc>
          <w:tcPr>
            <w:tcW w:type="dxa" w:w="2000"/>
            <w:tcBorders>
              <w:top w:val="single" w:color="D0C0A0" w:sz="4"/>
              <w:left w:val="single" w:color="D0C0A0" w:sz="4"/>
              <w:bottom w:val="single" w:color="D0C0A0" w:sz="4"/>
              <w:right w:val="single" w:color="D0C0A0" w:sz="4"/>
            </w:tcBorders>
            <w:shd w:fill="5C3317" w:val="clear"/>
            <w:tcMar>
              <w:top w:type="dxa" w:w="80"/>
              <w:left w:type="dxa" w:w="120"/>
              <w:bottom w:type="dxa" w:w="80"/>
              <w:right w:type="dxa" w:w="120"/>
            </w:tcMar>
            <w:vAlign w:val="center"/>
          </w:tcPr>
          <w:p>
            <w:r>
              <w:rPr>
                <w:rFonts w:ascii="Arial" w:cs="Arial" w:eastAsia="Arial" w:hAnsi="Arial"/>
                <w:b/>
                <w:bCs/>
                <w:color w:val="FFFFFF"/>
                <w:sz w:val="18"/>
                <w:szCs w:val="18"/>
              </w:rPr>
              <w:t xml:space="preserve">Risk Rating</w:t>
            </w:r>
          </w:p>
        </w:tc>
      </w:tr>
      <w:tr>
        <w:tc>
          <w:tcPr>
            <w:tcW w:type="dxa" w:w="2000"/>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b/>
                <w:bCs/>
                <w:color w:val="1A1A1A"/>
                <w:sz w:val="18"/>
                <w:szCs w:val="18"/>
              </w:rPr>
              <w:t xml:space="preserve">No identity binding</w:t>
            </w:r>
          </w:p>
        </w:tc>
        <w:tc>
          <w:tcPr>
            <w:tcW w:type="dxa" w:w="2826"/>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Paper and email approvals cannot verify the approver's identity at the moment of decision.</w:t>
            </w:r>
          </w:p>
        </w:tc>
        <w:tc>
          <w:tcPr>
            <w:tcW w:type="dxa" w:w="2200"/>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Fraud exposure; invalid approvals.</w:t>
            </w:r>
          </w:p>
        </w:tc>
        <w:tc>
          <w:tcPr>
            <w:tcW w:type="dxa" w:w="2000"/>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HIGH</w:t>
            </w:r>
          </w:p>
        </w:tc>
      </w:tr>
      <w:tr>
        <w:tc>
          <w:tcPr>
            <w:tcW w:type="dxa" w:w="2000"/>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A"/>
                <w:sz w:val="18"/>
                <w:szCs w:val="18"/>
              </w:rPr>
              <w:t xml:space="preserve">No structured audit trail</w:t>
            </w:r>
          </w:p>
        </w:tc>
        <w:tc>
          <w:tcPr>
            <w:tcW w:type="dxa" w:w="2826"/>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Decisions are dispersed across inboxes and filing cabinets; reconstruction is manual and incomplete.</w:t>
            </w:r>
          </w:p>
        </w:tc>
        <w:tc>
          <w:tcPr>
            <w:tcW w:type="dxa" w:w="2200"/>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Audit failure; regulatory exposure.</w:t>
            </w:r>
          </w:p>
        </w:tc>
        <w:tc>
          <w:tcPr>
            <w:tcW w:type="dxa" w:w="2000"/>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HIGH</w:t>
            </w:r>
          </w:p>
        </w:tc>
      </w:tr>
      <w:tr>
        <w:tc>
          <w:tcPr>
            <w:tcW w:type="dxa" w:w="2000"/>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b/>
                <w:bCs/>
                <w:color w:val="1A1A1A"/>
                <w:sz w:val="18"/>
                <w:szCs w:val="18"/>
              </w:rPr>
              <w:t xml:space="preserve">Workflow opacity</w:t>
            </w:r>
          </w:p>
        </w:tc>
        <w:tc>
          <w:tcPr>
            <w:tcW w:type="dxa" w:w="2826"/>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Requesters cannot track where a request sits or what is blocking it.</w:t>
            </w:r>
          </w:p>
        </w:tc>
        <w:tc>
          <w:tcPr>
            <w:tcW w:type="dxa" w:w="2200"/>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Delays; management escalations.</w:t>
            </w:r>
          </w:p>
        </w:tc>
        <w:tc>
          <w:tcPr>
            <w:tcW w:type="dxa" w:w="2000"/>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MEDIUM</w:t>
            </w:r>
          </w:p>
        </w:tc>
      </w:tr>
      <w:tr>
        <w:tc>
          <w:tcPr>
            <w:tcW w:type="dxa" w:w="2000"/>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A"/>
                <w:sz w:val="18"/>
                <w:szCs w:val="18"/>
              </w:rPr>
              <w:t xml:space="preserve">Untracked delegation</w:t>
            </w:r>
          </w:p>
        </w:tc>
        <w:tc>
          <w:tcPr>
            <w:tcW w:type="dxa" w:w="2826"/>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Ad hoc verbal or email delegations are not recorded or time-bounded.</w:t>
            </w:r>
          </w:p>
        </w:tc>
        <w:tc>
          <w:tcPr>
            <w:tcW w:type="dxa" w:w="2200"/>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Accountability gaps; audit findings.</w:t>
            </w:r>
          </w:p>
        </w:tc>
        <w:tc>
          <w:tcPr>
            <w:tcW w:type="dxa" w:w="2000"/>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HIGH</w:t>
            </w:r>
          </w:p>
        </w:tc>
      </w:tr>
      <w:tr>
        <w:tc>
          <w:tcPr>
            <w:tcW w:type="dxa" w:w="2000"/>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b/>
                <w:bCs/>
                <w:color w:val="1A1A1A"/>
                <w:sz w:val="18"/>
                <w:szCs w:val="18"/>
              </w:rPr>
              <w:t xml:space="preserve">No risk differentiation</w:t>
            </w:r>
          </w:p>
        </w:tc>
        <w:tc>
          <w:tcPr>
            <w:tcW w:type="dxa" w:w="2826"/>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A petty cash request and a multi-million dollar CAPEX are processed through the same email chain.</w:t>
            </w:r>
          </w:p>
        </w:tc>
        <w:tc>
          <w:tcPr>
            <w:tcW w:type="dxa" w:w="2200"/>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Insufficient control for high-value decisions.</w:t>
            </w:r>
          </w:p>
        </w:tc>
        <w:tc>
          <w:tcPr>
            <w:tcW w:type="dxa" w:w="2000"/>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CRITICAL</w:t>
            </w:r>
          </w:p>
        </w:tc>
      </w:tr>
      <w:tr>
        <w:tc>
          <w:tcPr>
            <w:tcW w:type="dxa" w:w="2000"/>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A"/>
                <w:sz w:val="18"/>
                <w:szCs w:val="18"/>
              </w:rPr>
              <w:t xml:space="preserve">Manual archiving</w:t>
            </w:r>
          </w:p>
        </w:tc>
        <w:tc>
          <w:tcPr>
            <w:tcW w:type="dxa" w:w="2826"/>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Approved documents are stored inconsistently, often not at all.</w:t>
            </w:r>
          </w:p>
        </w:tc>
        <w:tc>
          <w:tcPr>
            <w:tcW w:type="dxa" w:w="2200"/>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No evidence trail for audit or dispute.</w:t>
            </w:r>
          </w:p>
        </w:tc>
        <w:tc>
          <w:tcPr>
            <w:tcW w:type="dxa" w:w="2000"/>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HIGH</w:t>
            </w:r>
          </w:p>
        </w:tc>
      </w:tr>
    </w:tbl>
    <w:p>
      <w:pPr>
        <w:pStyle w:val="Heading2"/>
        <w:spacing w:after="80" w:before="220"/>
      </w:pPr>
      <w:r>
        <w:rPr>
          <w:rFonts w:ascii="Arial" w:cs="Arial" w:eastAsia="Arial" w:hAnsi="Arial"/>
          <w:b/>
          <w:bCs/>
          <w:color w:val="5C3317"/>
          <w:sz w:val="22"/>
          <w:szCs w:val="22"/>
        </w:rPr>
        <w:t xml:space="preserve">2.2  Strategic Imperative</w:t>
      </w:r>
    </w:p>
    <w:p>
      <w:pPr>
        <w:spacing w:after="100" w:before="60"/>
      </w:pPr>
      <w:r>
        <w:rPr>
          <w:rFonts w:ascii="Arial" w:cs="Arial" w:eastAsia="Arial" w:hAnsi="Arial"/>
          <w:b w:val="false"/>
          <w:bCs w:val="false"/>
          <w:i w:val="false"/>
          <w:iCs w:val="false"/>
          <w:color w:val="1A1A1A"/>
          <w:sz w:val="20"/>
          <w:szCs w:val="20"/>
        </w:rPr>
        <w:t xml:space="preserve">RTG operates in a regulated environment and is subject to internal audit, external audit, and sector governance requirements. The current manual approval regime is incompatible with the governance maturity expected of an organisation of RTG's scale and profile. The risk of a material audit finding, a fraudulent approval, or a compliance breach under the current process is significant and increasing.</w:t>
      </w:r>
    </w:p>
    <w:p>
      <w:r>
        <w:br w:type="page"/>
      </w:r>
    </w:p>
    <w:p>
      <w:pPr>
        <w:spacing w:after="0" w:before="400"/>
      </w:pPr>
    </w:p>
    <w:p>
      <w:pPr>
        <w:pStyle w:val="Heading1"/>
        <w:spacing w:after="120" w:before="320"/>
      </w:pPr>
      <w:r>
        <w:rPr>
          <w:rFonts w:ascii="Arial" w:cs="Arial" w:eastAsia="Arial" w:hAnsi="Arial"/>
          <w:b/>
          <w:bCs/>
          <w:color w:val="5C3317"/>
          <w:sz w:val="26"/>
          <w:szCs w:val="26"/>
        </w:rPr>
        <w:t xml:space="preserve">3.  Proposed Solution</w:t>
      </w:r>
    </w:p>
    <w:p>
      <w:pPr>
        <w:pBdr>
          <w:bottom w:val="single" w:color="B8860B" w:sz="6"/>
        </w:pBdr>
        <w:spacing w:after="120" w:before="0"/>
      </w:pPr>
    </w:p>
    <w:p>
      <w:pPr>
        <w:pStyle w:val="Heading2"/>
        <w:spacing w:after="80" w:before="220"/>
      </w:pPr>
      <w:r>
        <w:rPr>
          <w:rFonts w:ascii="Arial" w:cs="Arial" w:eastAsia="Arial" w:hAnsi="Arial"/>
          <w:b/>
          <w:bCs/>
          <w:color w:val="5C3317"/>
          <w:sz w:val="22"/>
          <w:szCs w:val="22"/>
        </w:rPr>
        <w:t xml:space="preserve">3.1  Solution Overview</w:t>
      </w:r>
    </w:p>
    <w:p>
      <w:pPr>
        <w:spacing w:after="100" w:before="60"/>
      </w:pPr>
      <w:r>
        <w:rPr>
          <w:rFonts w:ascii="Arial" w:cs="Arial" w:eastAsia="Arial" w:hAnsi="Arial"/>
          <w:b w:val="false"/>
          <w:bCs w:val="false"/>
          <w:i w:val="false"/>
          <w:iCs w:val="false"/>
          <w:color w:val="1A1A1A"/>
          <w:sz w:val="20"/>
          <w:szCs w:val="20"/>
        </w:rPr>
        <w:t xml:space="preserve">The Circle is an internally developed, web-based enterprise approval platform built on modern, maintainable technology. It provides a structured digital channel for every approval workflow in the organisation, enforcing authentication, capturing signatures, and generating immutable audit records automatically.</w:t>
      </w:r>
    </w:p>
    <w:p>
      <w:pPr>
        <w:spacing w:after="0" w:before="400"/>
      </w:pPr>
    </w:p>
    <w:p>
      <w:pPr>
        <w:spacing w:after="100" w:before="60"/>
      </w:pPr>
      <w:r>
        <w:rPr>
          <w:rFonts w:ascii="Arial" w:cs="Arial" w:eastAsia="Arial" w:hAnsi="Arial"/>
          <w:b/>
          <w:bCs/>
          <w:i w:val="false"/>
          <w:iCs w:val="false"/>
          <w:color w:val="1A1A1A"/>
          <w:sz w:val="20"/>
          <w:szCs w:val="20"/>
        </w:rPr>
        <w:t xml:space="preserve">Core capabilities:</w:t>
      </w:r>
    </w:p>
    <w:p>
      <w:pP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226"/>
      </w:tblGrid>
      <w:tr>
        <w:tc>
          <w:tcPr>
            <w:tcW w:type="dxa" w:w="2600"/>
            <w:tcBorders>
              <w:top w:val="single" w:color="D0C0A0" w:sz="4"/>
              <w:left w:val="single" w:color="D0C0A0" w:sz="4"/>
              <w:bottom w:val="single" w:color="D0C0A0" w:sz="4"/>
              <w:right w:val="single" w:color="D0C0A0" w:sz="4"/>
            </w:tcBorders>
            <w:shd w:fill="5C3317" w:val="clear"/>
            <w:tcMar>
              <w:top w:type="dxa" w:w="80"/>
              <w:left w:type="dxa" w:w="120"/>
              <w:bottom w:type="dxa" w:w="80"/>
              <w:right w:type="dxa" w:w="120"/>
            </w:tcMar>
            <w:vAlign w:val="center"/>
          </w:tcPr>
          <w:p>
            <w:r>
              <w:rPr>
                <w:rFonts w:ascii="Arial" w:cs="Arial" w:eastAsia="Arial" w:hAnsi="Arial"/>
                <w:b/>
                <w:bCs/>
                <w:color w:val="FFFFFF"/>
                <w:sz w:val="18"/>
                <w:szCs w:val="18"/>
              </w:rPr>
              <w:t xml:space="preserve">Capability</w:t>
            </w:r>
          </w:p>
        </w:tc>
        <w:tc>
          <w:tcPr>
            <w:tcW w:type="dxa" w:w="4200"/>
            <w:tcBorders>
              <w:top w:val="single" w:color="D0C0A0" w:sz="4"/>
              <w:left w:val="single" w:color="D0C0A0" w:sz="4"/>
              <w:bottom w:val="single" w:color="D0C0A0" w:sz="4"/>
              <w:right w:val="single" w:color="D0C0A0" w:sz="4"/>
            </w:tcBorders>
            <w:shd w:fill="5C3317"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c>
          <w:tcPr>
            <w:tcW w:type="dxa" w:w="2226"/>
            <w:tcBorders>
              <w:top w:val="single" w:color="D0C0A0" w:sz="4"/>
              <w:left w:val="single" w:color="D0C0A0" w:sz="4"/>
              <w:bottom w:val="single" w:color="D0C0A0" w:sz="4"/>
              <w:right w:val="single" w:color="D0C0A0" w:sz="4"/>
            </w:tcBorders>
            <w:shd w:fill="5C3317" w:val="clear"/>
            <w:tcMar>
              <w:top w:type="dxa" w:w="80"/>
              <w:left w:type="dxa" w:w="120"/>
              <w:bottom w:type="dxa" w:w="80"/>
              <w:right w:type="dxa" w:w="120"/>
            </w:tcMar>
            <w:vAlign w:val="center"/>
          </w:tcPr>
          <w:p>
            <w:r>
              <w:rPr>
                <w:rFonts w:ascii="Arial" w:cs="Arial" w:eastAsia="Arial" w:hAnsi="Arial"/>
                <w:b/>
                <w:bCs/>
                <w:color w:val="FFFFFF"/>
                <w:sz w:val="18"/>
                <w:szCs w:val="18"/>
              </w:rPr>
              <w:t xml:space="preserve">Status</w:t>
            </w:r>
          </w:p>
        </w:tc>
      </w:tr>
      <w:tr>
        <w:tc>
          <w:tcPr>
            <w:tcW w:type="dxa" w:w="2600"/>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b/>
                <w:bCs/>
                <w:color w:val="1A1A1A"/>
                <w:sz w:val="18"/>
                <w:szCs w:val="18"/>
              </w:rPr>
              <w:t xml:space="preserve">Multi-Step Workflow Engine</w:t>
            </w:r>
          </w:p>
        </w:tc>
        <w:tc>
          <w:tcPr>
            <w:tcW w:type="dxa" w:w="4200"/>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Sequential and parallel approval chains, configurable per request type.</w:t>
            </w:r>
          </w:p>
        </w:tc>
        <w:tc>
          <w:tcPr>
            <w:tcW w:type="dxa" w:w="2226"/>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Live</w:t>
            </w:r>
          </w:p>
        </w:tc>
      </w:tr>
      <w:tr>
        <w:tc>
          <w:tcPr>
            <w:tcW w:type="dxa" w:w="2600"/>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A"/>
                <w:sz w:val="18"/>
                <w:szCs w:val="18"/>
              </w:rPr>
              <w:t xml:space="preserve">Risk-Based Authentication</w:t>
            </w:r>
          </w:p>
        </w:tc>
        <w:tc>
          <w:tcPr>
            <w:tcW w:type="dxa" w:w="4200"/>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Automatically escalates from session confirmation → Microsoft MFA → biometric based on transaction value and sensitivity.</w:t>
            </w:r>
          </w:p>
        </w:tc>
        <w:tc>
          <w:tcPr>
            <w:tcW w:type="dxa" w:w="2226"/>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Live</w:t>
            </w:r>
          </w:p>
        </w:tc>
      </w:tr>
      <w:tr>
        <w:tc>
          <w:tcPr>
            <w:tcW w:type="dxa" w:w="2600"/>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b/>
                <w:bCs/>
                <w:color w:val="1A1A1A"/>
                <w:sz w:val="18"/>
                <w:szCs w:val="18"/>
              </w:rPr>
              <w:t xml:space="preserve">Electronic Signatures</w:t>
            </w:r>
          </w:p>
        </w:tc>
        <w:tc>
          <w:tcPr>
            <w:tcW w:type="dxa" w:w="4200"/>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Legally attributable signatures (drawn, typed, or pre-saved) captured at point of decision.</w:t>
            </w:r>
          </w:p>
        </w:tc>
        <w:tc>
          <w:tcPr>
            <w:tcW w:type="dxa" w:w="2226"/>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Live</w:t>
            </w:r>
          </w:p>
        </w:tc>
      </w:tr>
      <w:tr>
        <w:tc>
          <w:tcPr>
            <w:tcW w:type="dxa" w:w="2600"/>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A"/>
                <w:sz w:val="18"/>
                <w:szCs w:val="18"/>
              </w:rPr>
              <w:t xml:space="preserve">Immutable Audit Trail</w:t>
            </w:r>
          </w:p>
        </w:tc>
        <w:tc>
          <w:tcPr>
            <w:tcW w:type="dxa" w:w="4200"/>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Every decision recorded with identity, timestamp, device fingerprint, authentication method, and signature reference.</w:t>
            </w:r>
          </w:p>
        </w:tc>
        <w:tc>
          <w:tcPr>
            <w:tcW w:type="dxa" w:w="2226"/>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Live</w:t>
            </w:r>
          </w:p>
        </w:tc>
      </w:tr>
      <w:tr>
        <w:tc>
          <w:tcPr>
            <w:tcW w:type="dxa" w:w="2600"/>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b/>
                <w:bCs/>
                <w:color w:val="1A1A1A"/>
                <w:sz w:val="18"/>
                <w:szCs w:val="18"/>
              </w:rPr>
              <w:t xml:space="preserve">Role-Based Access Control</w:t>
            </w:r>
          </w:p>
        </w:tc>
        <w:tc>
          <w:tcPr>
            <w:tcW w:type="dxa" w:w="4200"/>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Granular, scoped permissions with expiring assignments and formal delegation management.</w:t>
            </w:r>
          </w:p>
        </w:tc>
        <w:tc>
          <w:tcPr>
            <w:tcW w:type="dxa" w:w="2226"/>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Live</w:t>
            </w:r>
          </w:p>
        </w:tc>
      </w:tr>
      <w:tr>
        <w:tc>
          <w:tcPr>
            <w:tcW w:type="dxa" w:w="2600"/>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A"/>
                <w:sz w:val="18"/>
                <w:szCs w:val="18"/>
              </w:rPr>
              <w:t xml:space="preserve">Automated PDF Archiving</w:t>
            </w:r>
          </w:p>
        </w:tc>
        <w:tc>
          <w:tcPr>
            <w:tcW w:type="dxa" w:w="4200"/>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Tamper-evident archive generated automatically on workflow completion.</w:t>
            </w:r>
          </w:p>
        </w:tc>
        <w:tc>
          <w:tcPr>
            <w:tcW w:type="dxa" w:w="2226"/>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Live</w:t>
            </w:r>
          </w:p>
        </w:tc>
      </w:tr>
      <w:tr>
        <w:tc>
          <w:tcPr>
            <w:tcW w:type="dxa" w:w="2600"/>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b/>
                <w:bCs/>
                <w:color w:val="1A1A1A"/>
                <w:sz w:val="18"/>
                <w:szCs w:val="18"/>
              </w:rPr>
              <w:t xml:space="preserve">HRIMS Integration</w:t>
            </w:r>
          </w:p>
        </w:tc>
        <w:tc>
          <w:tcPr>
            <w:tcW w:type="dxa" w:w="4200"/>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Approvers resolved dynamically from the live organisational chart.</w:t>
            </w:r>
          </w:p>
        </w:tc>
        <w:tc>
          <w:tcPr>
            <w:tcW w:type="dxa" w:w="2226"/>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Live</w:t>
            </w:r>
          </w:p>
        </w:tc>
      </w:tr>
      <w:tr>
        <w:tc>
          <w:tcPr>
            <w:tcW w:type="dxa" w:w="2600"/>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A"/>
                <w:sz w:val="18"/>
                <w:szCs w:val="18"/>
              </w:rPr>
              <w:t xml:space="preserve">Real-Time Notifications</w:t>
            </w:r>
          </w:p>
        </w:tc>
        <w:tc>
          <w:tcPr>
            <w:tcW w:type="dxa" w:w="4200"/>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In-app and email alerts at every workflow stage transition.</w:t>
            </w:r>
          </w:p>
        </w:tc>
        <w:tc>
          <w:tcPr>
            <w:tcW w:type="dxa" w:w="2226"/>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Live</w:t>
            </w:r>
          </w:p>
        </w:tc>
      </w:tr>
      <w:tr>
        <w:tc>
          <w:tcPr>
            <w:tcW w:type="dxa" w:w="2600"/>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b/>
                <w:bCs/>
                <w:color w:val="1A1A1A"/>
                <w:sz w:val="18"/>
                <w:szCs w:val="18"/>
              </w:rPr>
              <w:t xml:space="preserve">Dashboard &amp; Reporting</w:t>
            </w:r>
          </w:p>
        </w:tc>
        <w:tc>
          <w:tcPr>
            <w:tcW w:type="dxa" w:w="4200"/>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Live KPI metrics, SLA compliance tracking, and request analytics.</w:t>
            </w:r>
          </w:p>
        </w:tc>
        <w:tc>
          <w:tcPr>
            <w:tcW w:type="dxa" w:w="2226"/>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Live</w:t>
            </w:r>
          </w:p>
        </w:tc>
      </w:tr>
      <w:tr>
        <w:tc>
          <w:tcPr>
            <w:tcW w:type="dxa" w:w="2600"/>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A"/>
                <w:sz w:val="18"/>
                <w:szCs w:val="18"/>
              </w:rPr>
              <w:t xml:space="preserve">Custom Form Builder</w:t>
            </w:r>
          </w:p>
        </w:tc>
        <w:tc>
          <w:tcPr>
            <w:tcW w:type="dxa" w:w="4200"/>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Any department can digitise a paper form without code changes.</w:t>
            </w:r>
          </w:p>
        </w:tc>
        <w:tc>
          <w:tcPr>
            <w:tcW w:type="dxa" w:w="2226"/>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Live</w:t>
            </w:r>
          </w:p>
        </w:tc>
      </w:tr>
    </w:tbl>
    <w:p>
      <w:pPr>
        <w:pStyle w:val="Heading2"/>
        <w:spacing w:after="80" w:before="220"/>
      </w:pPr>
      <w:r>
        <w:rPr>
          <w:rFonts w:ascii="Arial" w:cs="Arial" w:eastAsia="Arial" w:hAnsi="Arial"/>
          <w:b/>
          <w:bCs/>
          <w:color w:val="5C3317"/>
          <w:sz w:val="22"/>
          <w:szCs w:val="22"/>
        </w:rPr>
        <w:t xml:space="preserve">3.2  Request Types — Finance Module (Phase 1)</w:t>
      </w:r>
    </w:p>
    <w:p>
      <w:pPr>
        <w:spacing w:after="100" w:before="60"/>
      </w:pPr>
      <w:r>
        <w:rPr>
          <w:rFonts w:ascii="Arial" w:cs="Arial" w:eastAsia="Arial" w:hAnsi="Arial"/>
          <w:b w:val="false"/>
          <w:bCs w:val="false"/>
          <w:i w:val="false"/>
          <w:iCs w:val="false"/>
          <w:color w:val="1A1A1A"/>
          <w:sz w:val="20"/>
          <w:szCs w:val="20"/>
        </w:rPr>
        <w:t xml:space="preserve">The following request types are live within the Finance module:</w:t>
      </w:r>
    </w:p>
    <w:p>
      <w:pP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b/>
                <w:bCs/>
                <w:color w:val="1A1A1A"/>
                <w:sz w:val="18"/>
                <w:szCs w:val="18"/>
              </w:rPr>
              <w:t xml:space="preserve">Capital Expenditure (CAPEX)</w:t>
            </w:r>
          </w:p>
        </w:tc>
        <w:tc>
          <w:tcPr>
            <w:tcW w:type="dxa" w:w="6026"/>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Multi-level approval with post-approval funding lifecycle tracker.</w:t>
            </w:r>
          </w:p>
        </w:tc>
      </w:tr>
      <w:tr>
        <w:tc>
          <w:tcPr>
            <w:tcW w:type="dxa" w:w="3000"/>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A"/>
                <w:sz w:val="18"/>
                <w:szCs w:val="18"/>
              </w:rPr>
              <w:t xml:space="preserve">Travel Authorisation</w:t>
            </w:r>
          </w:p>
        </w:tc>
        <w:tc>
          <w:tcPr>
            <w:tcW w:type="dxa" w:w="6026"/>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Local and international travel with HR cost-centre allocation.</w:t>
            </w:r>
          </w:p>
        </w:tc>
      </w:tr>
      <w:tr>
        <w:tc>
          <w:tcPr>
            <w:tcW w:type="dxa" w:w="3000"/>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b/>
                <w:bCs/>
                <w:color w:val="1A1A1A"/>
                <w:sz w:val="18"/>
                <w:szCs w:val="18"/>
              </w:rPr>
              <w:t xml:space="preserve">Hotel Complimentaries</w:t>
            </w:r>
          </w:p>
        </w:tc>
        <w:tc>
          <w:tcPr>
            <w:tcW w:type="dxa" w:w="6026"/>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Internal staff accommodation bookings with structured approval chain.</w:t>
            </w:r>
          </w:p>
        </w:tc>
      </w:tr>
      <w:tr>
        <w:tc>
          <w:tcPr>
            <w:tcW w:type="dxa" w:w="3000"/>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A"/>
                <w:sz w:val="18"/>
                <w:szCs w:val="18"/>
              </w:rPr>
              <w:t xml:space="preserve">External Complimentary Vouchers</w:t>
            </w:r>
          </w:p>
        </w:tc>
        <w:tc>
          <w:tcPr>
            <w:tcW w:type="dxa" w:w="6026"/>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Partner/guest accommodation vouchers with transparency controls.</w:t>
            </w:r>
          </w:p>
        </w:tc>
      </w:tr>
      <w:tr>
        <w:tc>
          <w:tcPr>
            <w:tcW w:type="dxa" w:w="3000"/>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b/>
                <w:bCs/>
                <w:color w:val="1A1A1A"/>
                <w:sz w:val="18"/>
                <w:szCs w:val="18"/>
              </w:rPr>
              <w:t xml:space="preserve">Petty Cash Requests</w:t>
            </w:r>
          </w:p>
        </w:tc>
        <w:tc>
          <w:tcPr>
            <w:tcW w:type="dxa" w:w="6026"/>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Digitised disbursement with cost-centre allocation and full audit.</w:t>
            </w:r>
          </w:p>
        </w:tc>
      </w:tr>
      <w:tr>
        <w:tc>
          <w:tcPr>
            <w:tcW w:type="dxa" w:w="3000"/>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A"/>
                <w:sz w:val="18"/>
                <w:szCs w:val="18"/>
              </w:rPr>
              <w:t xml:space="preserve">Debit / Credit Notes</w:t>
            </w:r>
          </w:p>
        </w:tc>
        <w:tc>
          <w:tcPr>
            <w:tcW w:type="dxa" w:w="6026"/>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Financial adjustment notes with authorised signatory capture.</w:t>
            </w:r>
          </w:p>
        </w:tc>
      </w:tr>
      <w:tr>
        <w:tc>
          <w:tcPr>
            <w:tcW w:type="dxa" w:w="3000"/>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b/>
                <w:bCs/>
                <w:color w:val="1A1A1A"/>
                <w:sz w:val="18"/>
                <w:szCs w:val="18"/>
              </w:rPr>
              <w:t xml:space="preserve">Journal Entries</w:t>
            </w:r>
          </w:p>
        </w:tc>
        <w:tc>
          <w:tcPr>
            <w:tcW w:type="dxa" w:w="6026"/>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Finance-governed journal entry approvals replacing paper submissions.</w:t>
            </w:r>
          </w:p>
        </w:tc>
      </w:tr>
      <w:tr>
        <w:tc>
          <w:tcPr>
            <w:tcW w:type="dxa" w:w="3000"/>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A"/>
                <w:sz w:val="18"/>
                <w:szCs w:val="18"/>
              </w:rPr>
              <w:t xml:space="preserve">General Ledger Postings</w:t>
            </w:r>
          </w:p>
        </w:tc>
        <w:tc>
          <w:tcPr>
            <w:tcW w:type="dxa" w:w="6026"/>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GL posting requests with mandatory finance approval and documentation.</w:t>
            </w:r>
          </w:p>
        </w:tc>
      </w:tr>
      <w:tr>
        <w:tc>
          <w:tcPr>
            <w:tcW w:type="dxa" w:w="3000"/>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b/>
                <w:bCs/>
                <w:color w:val="1A1A1A"/>
                <w:sz w:val="18"/>
                <w:szCs w:val="18"/>
              </w:rPr>
              <w:t xml:space="preserve">Voucher Requests</w:t>
            </w:r>
          </w:p>
        </w:tc>
        <w:tc>
          <w:tcPr>
            <w:tcW w:type="dxa" w:w="6026"/>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Cost-centre voucher issuance with full authorisation trail.</w:t>
            </w:r>
          </w:p>
        </w:tc>
      </w:tr>
      <w:tr>
        <w:tc>
          <w:tcPr>
            <w:tcW w:type="dxa" w:w="3000"/>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A"/>
                <w:sz w:val="18"/>
                <w:szCs w:val="18"/>
              </w:rPr>
              <w:t xml:space="preserve">Custom / Ad Hoc Forms</w:t>
            </w:r>
          </w:p>
        </w:tc>
        <w:tc>
          <w:tcPr>
            <w:tcW w:type="dxa" w:w="6026"/>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Any departmental form digitised on demand via the form builder.</w:t>
            </w:r>
          </w:p>
        </w:tc>
      </w:tr>
    </w:tbl>
    <w:p>
      <w:r>
        <w:br w:type="page"/>
      </w:r>
    </w:p>
    <w:p>
      <w:pPr>
        <w:spacing w:after="0" w:before="400"/>
      </w:pPr>
    </w:p>
    <w:p>
      <w:pPr>
        <w:pStyle w:val="Heading1"/>
        <w:spacing w:after="120" w:before="320"/>
      </w:pPr>
      <w:r>
        <w:rPr>
          <w:rFonts w:ascii="Arial" w:cs="Arial" w:eastAsia="Arial" w:hAnsi="Arial"/>
          <w:b/>
          <w:bCs/>
          <w:color w:val="5C3317"/>
          <w:sz w:val="26"/>
          <w:szCs w:val="26"/>
        </w:rPr>
        <w:t xml:space="preserve">4.  Strategic Alignment &amp; Expansion Roadmap</w:t>
      </w:r>
    </w:p>
    <w:p>
      <w:pPr>
        <w:pBdr>
          <w:bottom w:val="single" w:color="B8860B" w:sz="6"/>
        </w:pBdr>
        <w:spacing w:after="120" w:before="0"/>
      </w:pPr>
    </w:p>
    <w:p>
      <w:pPr>
        <w:pStyle w:val="Heading2"/>
        <w:spacing w:after="80" w:before="220"/>
      </w:pPr>
      <w:r>
        <w:rPr>
          <w:rFonts w:ascii="Arial" w:cs="Arial" w:eastAsia="Arial" w:hAnsi="Arial"/>
          <w:b/>
          <w:bCs/>
          <w:color w:val="5C3317"/>
          <w:sz w:val="22"/>
          <w:szCs w:val="22"/>
        </w:rPr>
        <w:t xml:space="preserve">4.1  Strategic Alignment</w:t>
      </w:r>
    </w:p>
    <w:p>
      <w:pPr>
        <w:spacing w:after="100" w:before="60"/>
      </w:pPr>
      <w:r>
        <w:rPr>
          <w:rFonts w:ascii="Arial" w:cs="Arial" w:eastAsia="Arial" w:hAnsi="Arial"/>
          <w:b w:val="false"/>
          <w:bCs w:val="false"/>
          <w:i w:val="false"/>
          <w:iCs w:val="false"/>
          <w:color w:val="1A1A1A"/>
          <w:sz w:val="20"/>
          <w:szCs w:val="20"/>
        </w:rPr>
        <w:t xml:space="preserve">The Circle directly supports the following RTG strategic objectives:</w:t>
      </w:r>
    </w:p>
    <w:p>
      <w:pP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b/>
                <w:bCs/>
                <w:color w:val="1A1A1A"/>
                <w:sz w:val="18"/>
                <w:szCs w:val="18"/>
              </w:rPr>
              <w:t xml:space="preserve">Governance &amp; Compliance</w:t>
            </w:r>
          </w:p>
        </w:tc>
        <w:tc>
          <w:tcPr>
            <w:tcW w:type="dxa" w:w="6226"/>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Establishes a demonstrable, audit-ready approval control framework across the organisation.</w:t>
            </w:r>
          </w:p>
        </w:tc>
      </w:tr>
      <w:tr>
        <w:tc>
          <w:tcPr>
            <w:tcW w:type="dxa" w:w="2800"/>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A"/>
                <w:sz w:val="18"/>
                <w:szCs w:val="18"/>
              </w:rPr>
              <w:t xml:space="preserve">Risk Management</w:t>
            </w:r>
          </w:p>
        </w:tc>
        <w:tc>
          <w:tcPr>
            <w:tcW w:type="dxa" w:w="6226"/>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Eliminates material fraud and compliance exposure from uncontrolled manual approval processes.</w:t>
            </w:r>
          </w:p>
        </w:tc>
      </w:tr>
      <w:tr>
        <w:tc>
          <w:tcPr>
            <w:tcW w:type="dxa" w:w="2800"/>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b/>
                <w:bCs/>
                <w:color w:val="1A1A1A"/>
                <w:sz w:val="18"/>
                <w:szCs w:val="18"/>
              </w:rPr>
              <w:t xml:space="preserve">Operational Efficiency</w:t>
            </w:r>
          </w:p>
        </w:tc>
        <w:tc>
          <w:tcPr>
            <w:tcW w:type="dxa" w:w="6226"/>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Reduces approval cycle time through automated routing, parallel processing, and real-time notification.</w:t>
            </w:r>
          </w:p>
        </w:tc>
      </w:tr>
      <w:tr>
        <w:tc>
          <w:tcPr>
            <w:tcW w:type="dxa" w:w="2800"/>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A"/>
                <w:sz w:val="18"/>
                <w:szCs w:val="18"/>
              </w:rPr>
              <w:t xml:space="preserve">Digital Transformation</w:t>
            </w:r>
          </w:p>
        </w:tc>
        <w:tc>
          <w:tcPr>
            <w:tcW w:type="dxa" w:w="6226"/>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Replaces paper-based and email-driven processes with a governed, scalable digital platform.</w:t>
            </w:r>
          </w:p>
        </w:tc>
      </w:tr>
      <w:tr>
        <w:tc>
          <w:tcPr>
            <w:tcW w:type="dxa" w:w="2800"/>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b/>
                <w:bCs/>
                <w:color w:val="1A1A1A"/>
                <w:sz w:val="18"/>
                <w:szCs w:val="18"/>
              </w:rPr>
              <w:t xml:space="preserve">Talent &amp; Culture</w:t>
            </w:r>
          </w:p>
        </w:tc>
        <w:tc>
          <w:tcPr>
            <w:tcW w:type="dxa" w:w="6226"/>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Provides employees with a modern, transparent, and responsive experience for administrative requests.</w:t>
            </w:r>
          </w:p>
        </w:tc>
      </w:tr>
    </w:tbl>
    <w:p>
      <w:pPr>
        <w:pStyle w:val="Heading2"/>
        <w:spacing w:after="80" w:before="220"/>
      </w:pPr>
      <w:r>
        <w:rPr>
          <w:rFonts w:ascii="Arial" w:cs="Arial" w:eastAsia="Arial" w:hAnsi="Arial"/>
          <w:b/>
          <w:bCs/>
          <w:color w:val="5C3317"/>
          <w:sz w:val="22"/>
          <w:szCs w:val="22"/>
        </w:rPr>
        <w:t xml:space="preserve">4.2  Modular Expansion Roadmap</w:t>
      </w:r>
    </w:p>
    <w:p>
      <w:pPr>
        <w:spacing w:after="100" w:before="60"/>
      </w:pPr>
      <w:r>
        <w:rPr>
          <w:rFonts w:ascii="Arial" w:cs="Arial" w:eastAsia="Arial" w:hAnsi="Arial"/>
          <w:b w:val="false"/>
          <w:bCs w:val="false"/>
          <w:i w:val="false"/>
          <w:iCs w:val="false"/>
          <w:color w:val="1A1A1A"/>
          <w:sz w:val="20"/>
          <w:szCs w:val="20"/>
        </w:rPr>
        <w:t xml:space="preserve">The Circle is designed as a continuously growing platform. The Finance module is the first delivered module. The following modules are planned:</w:t>
      </w:r>
    </w:p>
    <w:p>
      <w:pP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626"/>
        <w:gridCol w:w="1500"/>
        <w:gridCol w:w="2000"/>
      </w:tblGrid>
      <w:tr>
        <w:tc>
          <w:tcPr>
            <w:tcW w:type="dxa" w:w="1900"/>
            <w:tcBorders>
              <w:top w:val="single" w:color="D0C0A0" w:sz="4"/>
              <w:left w:val="single" w:color="D0C0A0" w:sz="4"/>
              <w:bottom w:val="single" w:color="D0C0A0" w:sz="4"/>
              <w:right w:val="single" w:color="D0C0A0" w:sz="4"/>
            </w:tcBorders>
            <w:shd w:fill="5C3317"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3626"/>
            <w:tcBorders>
              <w:top w:val="single" w:color="D0C0A0" w:sz="4"/>
              <w:left w:val="single" w:color="D0C0A0" w:sz="4"/>
              <w:bottom w:val="single" w:color="D0C0A0" w:sz="4"/>
              <w:right w:val="single" w:color="D0C0A0" w:sz="4"/>
            </w:tcBorders>
            <w:shd w:fill="5C3317" w:val="clear"/>
            <w:tcMar>
              <w:top w:type="dxa" w:w="80"/>
              <w:left w:type="dxa" w:w="120"/>
              <w:bottom w:type="dxa" w:w="80"/>
              <w:right w:type="dxa" w:w="120"/>
            </w:tcMar>
            <w:vAlign w:val="center"/>
          </w:tcPr>
          <w:p>
            <w:r>
              <w:rPr>
                <w:rFonts w:ascii="Arial" w:cs="Arial" w:eastAsia="Arial" w:hAnsi="Arial"/>
                <w:b/>
                <w:bCs/>
                <w:color w:val="FFFFFF"/>
                <w:sz w:val="18"/>
                <w:szCs w:val="18"/>
              </w:rPr>
              <w:t xml:space="preserve">Scope</w:t>
            </w:r>
          </w:p>
        </w:tc>
        <w:tc>
          <w:tcPr>
            <w:tcW w:type="dxa" w:w="1500"/>
            <w:tcBorders>
              <w:top w:val="single" w:color="D0C0A0" w:sz="4"/>
              <w:left w:val="single" w:color="D0C0A0" w:sz="4"/>
              <w:bottom w:val="single" w:color="D0C0A0" w:sz="4"/>
              <w:right w:val="single" w:color="D0C0A0" w:sz="4"/>
            </w:tcBorders>
            <w:shd w:fill="5C3317" w:val="clear"/>
            <w:tcMar>
              <w:top w:type="dxa" w:w="80"/>
              <w:left w:type="dxa" w:w="120"/>
              <w:bottom w:type="dxa" w:w="80"/>
              <w:right w:type="dxa" w:w="120"/>
            </w:tcMar>
            <w:vAlign w:val="center"/>
          </w:tcPr>
          <w:p>
            <w:r>
              <w:rPr>
                <w:rFonts w:ascii="Arial" w:cs="Arial" w:eastAsia="Arial" w:hAnsi="Arial"/>
                <w:b/>
                <w:bCs/>
                <w:color w:val="FFFFFF"/>
                <w:sz w:val="18"/>
                <w:szCs w:val="18"/>
              </w:rPr>
              <w:t xml:space="preserve">Priority</w:t>
            </w:r>
          </w:p>
        </w:tc>
        <w:tc>
          <w:tcPr>
            <w:tcW w:type="dxa" w:w="2000"/>
            <w:tcBorders>
              <w:top w:val="single" w:color="D0C0A0" w:sz="4"/>
              <w:left w:val="single" w:color="D0C0A0" w:sz="4"/>
              <w:bottom w:val="single" w:color="D0C0A0" w:sz="4"/>
              <w:right w:val="single" w:color="D0C0A0" w:sz="4"/>
            </w:tcBorders>
            <w:shd w:fill="5C3317" w:val="clear"/>
            <w:tcMar>
              <w:top w:type="dxa" w:w="80"/>
              <w:left w:type="dxa" w:w="120"/>
              <w:bottom w:type="dxa" w:w="80"/>
              <w:right w:type="dxa" w:w="120"/>
            </w:tcMar>
            <w:vAlign w:val="center"/>
          </w:tcPr>
          <w:p>
            <w:r>
              <w:rPr>
                <w:rFonts w:ascii="Arial" w:cs="Arial" w:eastAsia="Arial" w:hAnsi="Arial"/>
                <w:b/>
                <w:bCs/>
                <w:color w:val="FFFFFF"/>
                <w:sz w:val="18"/>
                <w:szCs w:val="18"/>
              </w:rPr>
              <w:t xml:space="preserve">Target Quarter</w:t>
            </w:r>
          </w:p>
        </w:tc>
      </w:tr>
      <w:tr>
        <w:tc>
          <w:tcPr>
            <w:tcW w:type="dxa" w:w="1900"/>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b/>
                <w:bCs/>
                <w:color w:val="1A1A1A"/>
                <w:sz w:val="18"/>
                <w:szCs w:val="18"/>
              </w:rPr>
              <w:t xml:space="preserve">Finance (Phase 1)</w:t>
            </w:r>
          </w:p>
        </w:tc>
        <w:tc>
          <w:tcPr>
            <w:tcW w:type="dxa" w:w="3626"/>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CAPEX, Travel, Accommodation, Petty Cash, Journals, Vouchers, Credit/Debit Notes.</w:t>
            </w:r>
          </w:p>
        </w:tc>
        <w:tc>
          <w:tcPr>
            <w:tcW w:type="dxa" w:w="1500"/>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Complete</w:t>
            </w:r>
          </w:p>
        </w:tc>
        <w:tc>
          <w:tcPr>
            <w:tcW w:type="dxa" w:w="2000"/>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Q2 2026</w:t>
            </w:r>
          </w:p>
        </w:tc>
      </w:tr>
      <w:tr>
        <w:tc>
          <w:tcPr>
            <w:tcW w:type="dxa" w:w="1900"/>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A"/>
                <w:sz w:val="18"/>
                <w:szCs w:val="18"/>
              </w:rPr>
              <w:t xml:space="preserve">Legal</w:t>
            </w:r>
          </w:p>
        </w:tc>
        <w:tc>
          <w:tcPr>
            <w:tcW w:type="dxa" w:w="3626"/>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Contract review and sign-off workflows; NDA approvals; regulatory submissions; legal opinion requests.</w:t>
            </w:r>
          </w:p>
        </w:tc>
        <w:tc>
          <w:tcPr>
            <w:tcW w:type="dxa" w:w="1500"/>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HIGH</w:t>
            </w:r>
          </w:p>
        </w:tc>
        <w:tc>
          <w:tcPr>
            <w:tcW w:type="dxa" w:w="2000"/>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Q3 2026</w:t>
            </w:r>
          </w:p>
        </w:tc>
      </w:tr>
      <w:tr>
        <w:tc>
          <w:tcPr>
            <w:tcW w:type="dxa" w:w="1900"/>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b/>
                <w:bCs/>
                <w:color w:val="1A1A1A"/>
                <w:sz w:val="18"/>
                <w:szCs w:val="18"/>
              </w:rPr>
              <w:t xml:space="preserve">Procurement</w:t>
            </w:r>
          </w:p>
        </w:tc>
        <w:tc>
          <w:tcPr>
            <w:tcW w:type="dxa" w:w="3626"/>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Purchase order approvals, supplier onboarding, vendor contract sign-offs.</w:t>
            </w:r>
          </w:p>
        </w:tc>
        <w:tc>
          <w:tcPr>
            <w:tcW w:type="dxa" w:w="1500"/>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HIGH</w:t>
            </w:r>
          </w:p>
        </w:tc>
        <w:tc>
          <w:tcPr>
            <w:tcW w:type="dxa" w:w="2000"/>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Q4 2026</w:t>
            </w:r>
          </w:p>
        </w:tc>
      </w:tr>
      <w:tr>
        <w:tc>
          <w:tcPr>
            <w:tcW w:type="dxa" w:w="1900"/>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A"/>
                <w:sz w:val="18"/>
                <w:szCs w:val="18"/>
              </w:rPr>
              <w:t xml:space="preserve">Human Resources</w:t>
            </w:r>
          </w:p>
        </w:tc>
        <w:tc>
          <w:tcPr>
            <w:tcW w:type="dxa" w:w="3626"/>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Leave approvals, disciplinary processes, recruitment authorisations.</w:t>
            </w:r>
          </w:p>
        </w:tc>
        <w:tc>
          <w:tcPr>
            <w:tcW w:type="dxa" w:w="1500"/>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MEDIUM</w:t>
            </w:r>
          </w:p>
        </w:tc>
        <w:tc>
          <w:tcPr>
            <w:tcW w:type="dxa" w:w="2000"/>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Q1 2027</w:t>
            </w:r>
          </w:p>
        </w:tc>
      </w:tr>
      <w:tr>
        <w:tc>
          <w:tcPr>
            <w:tcW w:type="dxa" w:w="1900"/>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b/>
                <w:bCs/>
                <w:color w:val="1A1A1A"/>
                <w:sz w:val="18"/>
                <w:szCs w:val="18"/>
              </w:rPr>
              <w:t xml:space="preserve">IT &amp; Infrastructure</w:t>
            </w:r>
          </w:p>
        </w:tc>
        <w:tc>
          <w:tcPr>
            <w:tcW w:type="dxa" w:w="3626"/>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Access provisioning, change requests, system decommissioning approvals.</w:t>
            </w:r>
          </w:p>
        </w:tc>
        <w:tc>
          <w:tcPr>
            <w:tcW w:type="dxa" w:w="1500"/>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MEDIUM</w:t>
            </w:r>
          </w:p>
        </w:tc>
        <w:tc>
          <w:tcPr>
            <w:tcW w:type="dxa" w:w="2000"/>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Q2 2027</w:t>
            </w:r>
          </w:p>
        </w:tc>
      </w:tr>
      <w:tr>
        <w:tc>
          <w:tcPr>
            <w:tcW w:type="dxa" w:w="1900"/>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A"/>
                <w:sz w:val="18"/>
                <w:szCs w:val="18"/>
              </w:rPr>
              <w:t xml:space="preserve">Executive Governance</w:t>
            </w:r>
          </w:p>
        </w:tc>
        <w:tc>
          <w:tcPr>
            <w:tcW w:type="dxa" w:w="3626"/>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Board resolution workflows, policy approvals, strategic investment sign-offs.</w:t>
            </w:r>
          </w:p>
        </w:tc>
        <w:tc>
          <w:tcPr>
            <w:tcW w:type="dxa" w:w="1500"/>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PLANNED</w:t>
            </w:r>
          </w:p>
        </w:tc>
        <w:tc>
          <w:tcPr>
            <w:tcW w:type="dxa" w:w="2000"/>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TBC</w:t>
            </w:r>
          </w:p>
        </w:tc>
      </w:tr>
    </w:tbl>
    <w:p>
      <w:pPr>
        <w:spacing w:after="100" w:before="60"/>
      </w:pPr>
      <w:r>
        <w:rPr>
          <w:rFonts w:ascii="Arial" w:cs="Arial" w:eastAsia="Arial" w:hAnsi="Arial"/>
          <w:b w:val="false"/>
          <w:bCs w:val="false"/>
          <w:i/>
          <w:iCs/>
          <w:color w:val="1A1A1A"/>
          <w:sz w:val="20"/>
          <w:szCs w:val="20"/>
        </w:rPr>
        <w:t xml:space="preserve">Each new module is additive — no re-architecture is required. The workflow engine, RBAC system, audit trail, and authentication framework serve all modules from a single shared platform.</w:t>
      </w:r>
    </w:p>
    <w:p>
      <w:r>
        <w:br w:type="page"/>
      </w:r>
    </w:p>
    <w:p>
      <w:pPr>
        <w:spacing w:after="0" w:before="400"/>
      </w:pPr>
    </w:p>
    <w:p>
      <w:pPr>
        <w:pStyle w:val="Heading1"/>
        <w:spacing w:after="120" w:before="320"/>
      </w:pPr>
      <w:r>
        <w:rPr>
          <w:rFonts w:ascii="Arial" w:cs="Arial" w:eastAsia="Arial" w:hAnsi="Arial"/>
          <w:b/>
          <w:bCs/>
          <w:color w:val="5C3317"/>
          <w:sz w:val="26"/>
          <w:szCs w:val="26"/>
        </w:rPr>
        <w:t xml:space="preserve">5.  Benefits &amp; Cost Estimate</w:t>
      </w:r>
    </w:p>
    <w:p>
      <w:pPr>
        <w:pBdr>
          <w:bottom w:val="single" w:color="B8860B" w:sz="6"/>
        </w:pBdr>
        <w:spacing w:after="120" w:before="0"/>
      </w:pPr>
    </w:p>
    <w:p>
      <w:pPr>
        <w:pStyle w:val="Heading2"/>
        <w:spacing w:after="80" w:before="220"/>
      </w:pPr>
      <w:r>
        <w:rPr>
          <w:rFonts w:ascii="Arial" w:cs="Arial" w:eastAsia="Arial" w:hAnsi="Arial"/>
          <w:b/>
          <w:bCs/>
          <w:color w:val="5C3317"/>
          <w:sz w:val="22"/>
          <w:szCs w:val="22"/>
        </w:rPr>
        <w:t xml:space="preserve">5.1  Expected Benefits</w:t>
      </w:r>
    </w:p>
    <w:p>
      <w:pP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26"/>
        <w:gridCol w:w="1800"/>
        <w:gridCol w:w="2200"/>
      </w:tblGrid>
      <w:tr>
        <w:tc>
          <w:tcPr>
            <w:tcW w:type="dxa" w:w="2000"/>
            <w:tcBorders>
              <w:top w:val="single" w:color="D0C0A0" w:sz="4"/>
              <w:left w:val="single" w:color="D0C0A0" w:sz="4"/>
              <w:bottom w:val="single" w:color="D0C0A0" w:sz="4"/>
              <w:right w:val="single" w:color="D0C0A0" w:sz="4"/>
            </w:tcBorders>
            <w:shd w:fill="5C3317" w:val="clear"/>
            <w:tcMar>
              <w:top w:type="dxa" w:w="80"/>
              <w:left w:type="dxa" w:w="120"/>
              <w:bottom w:type="dxa" w:w="80"/>
              <w:right w:type="dxa" w:w="120"/>
            </w:tcMar>
            <w:vAlign w:val="center"/>
          </w:tcPr>
          <w:p>
            <w:r>
              <w:rPr>
                <w:rFonts w:ascii="Arial" w:cs="Arial" w:eastAsia="Arial" w:hAnsi="Arial"/>
                <w:b/>
                <w:bCs/>
                <w:color w:val="FFFFFF"/>
                <w:sz w:val="18"/>
                <w:szCs w:val="18"/>
              </w:rPr>
              <w:t xml:space="preserve">Benefit</w:t>
            </w:r>
          </w:p>
        </w:tc>
        <w:tc>
          <w:tcPr>
            <w:tcW w:type="dxa" w:w="3026"/>
            <w:tcBorders>
              <w:top w:val="single" w:color="D0C0A0" w:sz="4"/>
              <w:left w:val="single" w:color="D0C0A0" w:sz="4"/>
              <w:bottom w:val="single" w:color="D0C0A0" w:sz="4"/>
              <w:right w:val="single" w:color="D0C0A0" w:sz="4"/>
            </w:tcBorders>
            <w:shd w:fill="5C3317"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c>
          <w:tcPr>
            <w:tcW w:type="dxa" w:w="1800"/>
            <w:tcBorders>
              <w:top w:val="single" w:color="D0C0A0" w:sz="4"/>
              <w:left w:val="single" w:color="D0C0A0" w:sz="4"/>
              <w:bottom w:val="single" w:color="D0C0A0" w:sz="4"/>
              <w:right w:val="single" w:color="D0C0A0" w:sz="4"/>
            </w:tcBorders>
            <w:shd w:fill="5C3317"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2200"/>
            <w:tcBorders>
              <w:top w:val="single" w:color="D0C0A0" w:sz="4"/>
              <w:left w:val="single" w:color="D0C0A0" w:sz="4"/>
              <w:bottom w:val="single" w:color="D0C0A0" w:sz="4"/>
              <w:right w:val="single" w:color="D0C0A0" w:sz="4"/>
            </w:tcBorders>
            <w:shd w:fill="5C3317" w:val="clear"/>
            <w:tcMar>
              <w:top w:type="dxa" w:w="80"/>
              <w:left w:type="dxa" w:w="120"/>
              <w:bottom w:type="dxa" w:w="80"/>
              <w:right w:type="dxa" w:w="120"/>
            </w:tcMar>
            <w:vAlign w:val="center"/>
          </w:tcPr>
          <w:p>
            <w:r>
              <w:rPr>
                <w:rFonts w:ascii="Arial" w:cs="Arial" w:eastAsia="Arial" w:hAnsi="Arial"/>
                <w:b/>
                <w:bCs/>
                <w:color w:val="FFFFFF"/>
                <w:sz w:val="18"/>
                <w:szCs w:val="18"/>
              </w:rPr>
              <w:t xml:space="preserve">Measurable Indicator</w:t>
            </w:r>
          </w:p>
        </w:tc>
      </w:tr>
      <w:tr>
        <w:tc>
          <w:tcPr>
            <w:tcW w:type="dxa" w:w="2000"/>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b/>
                <w:bCs/>
                <w:color w:val="1A1A1A"/>
                <w:sz w:val="18"/>
                <w:szCs w:val="18"/>
              </w:rPr>
              <w:t xml:space="preserve">Audit Readiness</w:t>
            </w:r>
          </w:p>
        </w:tc>
        <w:tc>
          <w:tcPr>
            <w:tcW w:type="dxa" w:w="3026"/>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Every approval decision is evidenced with authentication proof and a timestamped signature.</w:t>
            </w:r>
          </w:p>
        </w:tc>
        <w:tc>
          <w:tcPr>
            <w:tcW w:type="dxa" w:w="1800"/>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Qualitative / Risk</w:t>
            </w:r>
          </w:p>
        </w:tc>
        <w:tc>
          <w:tcPr>
            <w:tcW w:type="dxa" w:w="2200"/>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Zero audit findings on approval controls.</w:t>
            </w:r>
          </w:p>
        </w:tc>
      </w:tr>
      <w:tr>
        <w:tc>
          <w:tcPr>
            <w:tcW w:type="dxa" w:w="2000"/>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A"/>
                <w:sz w:val="18"/>
                <w:szCs w:val="18"/>
              </w:rPr>
              <w:t xml:space="preserve">Fraud Prevention</w:t>
            </w:r>
          </w:p>
        </w:tc>
        <w:tc>
          <w:tcPr>
            <w:tcW w:type="dxa" w:w="3026"/>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High-value approvals require biometric or MFA authentication, making unauthorised approvals infeasible.</w:t>
            </w:r>
          </w:p>
        </w:tc>
        <w:tc>
          <w:tcPr>
            <w:tcW w:type="dxa" w:w="1800"/>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Risk Reduction</w:t>
            </w:r>
          </w:p>
        </w:tc>
        <w:tc>
          <w:tcPr>
            <w:tcW w:type="dxa" w:w="2200"/>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Zero fraudulent approvals post-go-live.</w:t>
            </w:r>
          </w:p>
        </w:tc>
      </w:tr>
      <w:tr>
        <w:tc>
          <w:tcPr>
            <w:tcW w:type="dxa" w:w="2000"/>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b/>
                <w:bCs/>
                <w:color w:val="1A1A1A"/>
                <w:sz w:val="18"/>
                <w:szCs w:val="18"/>
              </w:rPr>
              <w:t xml:space="preserve">Cycle Time Reduction</w:t>
            </w:r>
          </w:p>
        </w:tc>
        <w:tc>
          <w:tcPr>
            <w:tcW w:type="dxa" w:w="3026"/>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Automated routing and parallel processing eliminates manual forwarding delays.</w:t>
            </w:r>
          </w:p>
        </w:tc>
        <w:tc>
          <w:tcPr>
            <w:tcW w:type="dxa" w:w="1800"/>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Quantitative</w:t>
            </w:r>
          </w:p>
        </w:tc>
        <w:tc>
          <w:tcPr>
            <w:tcW w:type="dxa" w:w="2200"/>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 50% reduction in average approval time.</w:t>
            </w:r>
          </w:p>
        </w:tc>
      </w:tr>
      <w:tr>
        <w:tc>
          <w:tcPr>
            <w:tcW w:type="dxa" w:w="2000"/>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A"/>
                <w:sz w:val="18"/>
                <w:szCs w:val="18"/>
              </w:rPr>
              <w:t xml:space="preserve">Process Consistency</w:t>
            </w:r>
          </w:p>
        </w:tc>
        <w:tc>
          <w:tcPr>
            <w:tcW w:type="dxa" w:w="3026"/>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All requests follow a defined, templated workflow — no deviation, no ad hoc handling.</w:t>
            </w:r>
          </w:p>
        </w:tc>
        <w:tc>
          <w:tcPr>
            <w:tcW w:type="dxa" w:w="1800"/>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Qualitative</w:t>
            </w:r>
          </w:p>
        </w:tc>
        <w:tc>
          <w:tcPr>
            <w:tcW w:type="dxa" w:w="2200"/>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100% of requests follow defined templates.</w:t>
            </w:r>
          </w:p>
        </w:tc>
      </w:tr>
      <w:tr>
        <w:tc>
          <w:tcPr>
            <w:tcW w:type="dxa" w:w="2000"/>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b/>
                <w:bCs/>
                <w:color w:val="1A1A1A"/>
                <w:sz w:val="18"/>
                <w:szCs w:val="18"/>
              </w:rPr>
              <w:t xml:space="preserve">Compliance Assurance</w:t>
            </w:r>
          </w:p>
        </w:tc>
        <w:tc>
          <w:tcPr>
            <w:tcW w:type="dxa" w:w="3026"/>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Immutable audit trail with device fingerprinting supports regulatory and legal scrutiny.</w:t>
            </w:r>
          </w:p>
        </w:tc>
        <w:tc>
          <w:tcPr>
            <w:tcW w:type="dxa" w:w="1800"/>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Risk Reduction</w:t>
            </w:r>
          </w:p>
        </w:tc>
        <w:tc>
          <w:tcPr>
            <w:tcW w:type="dxa" w:w="2200"/>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Full audit reconstruction in &lt; 5 minutes.</w:t>
            </w:r>
          </w:p>
        </w:tc>
      </w:tr>
      <w:tr>
        <w:tc>
          <w:tcPr>
            <w:tcW w:type="dxa" w:w="2000"/>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A"/>
                <w:sz w:val="18"/>
                <w:szCs w:val="18"/>
              </w:rPr>
              <w:t xml:space="preserve">Management Visibility</w:t>
            </w:r>
          </w:p>
        </w:tc>
        <w:tc>
          <w:tcPr>
            <w:tcW w:type="dxa" w:w="3026"/>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Real-time dashboard gives management a live view of workflow performance and bottlenecks.</w:t>
            </w:r>
          </w:p>
        </w:tc>
        <w:tc>
          <w:tcPr>
            <w:tcW w:type="dxa" w:w="1800"/>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Qualitative</w:t>
            </w:r>
          </w:p>
        </w:tc>
        <w:tc>
          <w:tcPr>
            <w:tcW w:type="dxa" w:w="2200"/>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Live SLA compliance reporting available.</w:t>
            </w:r>
          </w:p>
        </w:tc>
      </w:tr>
      <w:tr>
        <w:tc>
          <w:tcPr>
            <w:tcW w:type="dxa" w:w="2000"/>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b/>
                <w:bCs/>
                <w:color w:val="1A1A1A"/>
                <w:sz w:val="18"/>
                <w:szCs w:val="18"/>
              </w:rPr>
              <w:t xml:space="preserve">Cost Avoidance</w:t>
            </w:r>
          </w:p>
        </w:tc>
        <w:tc>
          <w:tcPr>
            <w:tcW w:type="dxa" w:w="3026"/>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Eliminates printing, physical filing, manual chasing, and re-processing of lost or incorrectly routed forms.</w:t>
            </w:r>
          </w:p>
        </w:tc>
        <w:tc>
          <w:tcPr>
            <w:tcW w:type="dxa" w:w="1800"/>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Quantitative</w:t>
            </w:r>
          </w:p>
        </w:tc>
        <w:tc>
          <w:tcPr>
            <w:tcW w:type="dxa" w:w="2200"/>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Estimated staff hours saved per annum.</w:t>
            </w:r>
          </w:p>
        </w:tc>
      </w:tr>
    </w:tbl>
    <w:p>
      <w:pPr>
        <w:pStyle w:val="Heading2"/>
        <w:spacing w:after="80" w:before="220"/>
      </w:pPr>
      <w:r>
        <w:rPr>
          <w:rFonts w:ascii="Arial" w:cs="Arial" w:eastAsia="Arial" w:hAnsi="Arial"/>
          <w:b/>
          <w:bCs/>
          <w:color w:val="5C3317"/>
          <w:sz w:val="22"/>
          <w:szCs w:val="22"/>
        </w:rPr>
        <w:t xml:space="preserve">5.2  Cost Summary</w:t>
      </w:r>
    </w:p>
    <w:p>
      <w:pPr>
        <w:spacing w:after="100" w:before="60"/>
      </w:pPr>
      <w:r>
        <w:rPr>
          <w:rFonts w:ascii="Arial" w:cs="Arial" w:eastAsia="Arial" w:hAnsi="Arial"/>
          <w:b w:val="false"/>
          <w:bCs w:val="false"/>
          <w:i w:val="false"/>
          <w:iCs w:val="false"/>
          <w:color w:val="1A1A1A"/>
          <w:sz w:val="20"/>
          <w:szCs w:val="20"/>
        </w:rPr>
        <w:t xml:space="preserve">The Circle is an internally developed platform. There is no third-party software licence fee for the core application. Costs are limited to:</w:t>
      </w:r>
    </w:p>
    <w:p>
      <w:pP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226"/>
        <w:gridCol w:w="2400"/>
      </w:tblGrid>
      <w:tr>
        <w:tc>
          <w:tcPr>
            <w:tcW w:type="dxa" w:w="2400"/>
            <w:tcBorders>
              <w:top w:val="single" w:color="D0C0A0" w:sz="4"/>
              <w:left w:val="single" w:color="D0C0A0" w:sz="4"/>
              <w:bottom w:val="single" w:color="D0C0A0" w:sz="4"/>
              <w:right w:val="single" w:color="D0C0A0" w:sz="4"/>
            </w:tcBorders>
            <w:shd w:fill="5C3317" w:val="clear"/>
            <w:tcMar>
              <w:top w:type="dxa" w:w="80"/>
              <w:left w:type="dxa" w:w="120"/>
              <w:bottom w:type="dxa" w:w="80"/>
              <w:right w:type="dxa" w:w="120"/>
            </w:tcMar>
            <w:vAlign w:val="center"/>
          </w:tcPr>
          <w:p>
            <w:r>
              <w:rPr>
                <w:rFonts w:ascii="Arial" w:cs="Arial" w:eastAsia="Arial" w:hAnsi="Arial"/>
                <w:b/>
                <w:bCs/>
                <w:color w:val="FFFFFF"/>
                <w:sz w:val="18"/>
                <w:szCs w:val="18"/>
              </w:rPr>
              <w:t xml:space="preserve">Cost Item</w:t>
            </w:r>
          </w:p>
        </w:tc>
        <w:tc>
          <w:tcPr>
            <w:tcW w:type="dxa" w:w="4226"/>
            <w:tcBorders>
              <w:top w:val="single" w:color="D0C0A0" w:sz="4"/>
              <w:left w:val="single" w:color="D0C0A0" w:sz="4"/>
              <w:bottom w:val="single" w:color="D0C0A0" w:sz="4"/>
              <w:right w:val="single" w:color="D0C0A0" w:sz="4"/>
            </w:tcBorders>
            <w:shd w:fill="5C3317"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c>
          <w:tcPr>
            <w:tcW w:type="dxa" w:w="2400"/>
            <w:tcBorders>
              <w:top w:val="single" w:color="D0C0A0" w:sz="4"/>
              <w:left w:val="single" w:color="D0C0A0" w:sz="4"/>
              <w:bottom w:val="single" w:color="D0C0A0" w:sz="4"/>
              <w:right w:val="single" w:color="D0C0A0" w:sz="4"/>
            </w:tcBorders>
            <w:shd w:fill="5C3317" w:val="clear"/>
            <w:tcMar>
              <w:top w:type="dxa" w:w="80"/>
              <w:left w:type="dxa" w:w="120"/>
              <w:bottom w:type="dxa" w:w="80"/>
              <w:right w:type="dxa" w:w="120"/>
            </w:tcMar>
            <w:vAlign w:val="center"/>
          </w:tcPr>
          <w:p>
            <w:r>
              <w:rPr>
                <w:rFonts w:ascii="Arial" w:cs="Arial" w:eastAsia="Arial" w:hAnsi="Arial"/>
                <w:b/>
                <w:bCs/>
                <w:color w:val="FFFFFF"/>
                <w:sz w:val="18"/>
                <w:szCs w:val="18"/>
              </w:rPr>
              <w:t xml:space="preserve">Classification</w:t>
            </w:r>
          </w:p>
        </w:tc>
      </w:tr>
      <w:tr>
        <w:tc>
          <w:tcPr>
            <w:tcW w:type="dxa" w:w="2400"/>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b/>
                <w:bCs/>
                <w:color w:val="1A1A1A"/>
                <w:sz w:val="18"/>
                <w:szCs w:val="18"/>
              </w:rPr>
              <w:t xml:space="preserve">Infrastructure — Supabase</w:t>
            </w:r>
          </w:p>
        </w:tc>
        <w:tc>
          <w:tcPr>
            <w:tcW w:type="dxa" w:w="4226"/>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PostgreSQL database, file storage, and real-time subscriptions (cloud-hosted, pay-as-you-go).</w:t>
            </w:r>
          </w:p>
        </w:tc>
        <w:tc>
          <w:tcPr>
            <w:tcW w:type="dxa" w:w="2400"/>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Operating Expenditure</w:t>
            </w:r>
          </w:p>
        </w:tc>
      </w:tr>
      <w:tr>
        <w:tc>
          <w:tcPr>
            <w:tcW w:type="dxa" w:w="2400"/>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A"/>
                <w:sz w:val="18"/>
                <w:szCs w:val="18"/>
              </w:rPr>
              <w:t xml:space="preserve">Infrastructure — Vercel</w:t>
            </w:r>
          </w:p>
        </w:tc>
        <w:tc>
          <w:tcPr>
            <w:tcW w:type="dxa" w:w="4226"/>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Application hosting and serverless compute.</w:t>
            </w:r>
          </w:p>
        </w:tc>
        <w:tc>
          <w:tcPr>
            <w:tcW w:type="dxa" w:w="2400"/>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Operating Expenditure</w:t>
            </w:r>
          </w:p>
        </w:tc>
      </w:tr>
      <w:tr>
        <w:tc>
          <w:tcPr>
            <w:tcW w:type="dxa" w:w="2400"/>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b/>
                <w:bCs/>
                <w:color w:val="1A1A1A"/>
                <w:sz w:val="18"/>
                <w:szCs w:val="18"/>
              </w:rPr>
              <w:t xml:space="preserve">Microsoft Entra ID</w:t>
            </w:r>
          </w:p>
        </w:tc>
        <w:tc>
          <w:tcPr>
            <w:tcW w:type="dxa" w:w="4226"/>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SSO and MFA — covered under existing RTG Microsoft 365 licensing.</w:t>
            </w:r>
          </w:p>
        </w:tc>
        <w:tc>
          <w:tcPr>
            <w:tcW w:type="dxa" w:w="2400"/>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Existing Licence</w:t>
            </w:r>
          </w:p>
        </w:tc>
      </w:tr>
      <w:tr>
        <w:tc>
          <w:tcPr>
            <w:tcW w:type="dxa" w:w="2400"/>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A"/>
                <w:sz w:val="18"/>
                <w:szCs w:val="18"/>
              </w:rPr>
              <w:t xml:space="preserve">Email — Resend</w:t>
            </w:r>
          </w:p>
        </w:tc>
        <w:tc>
          <w:tcPr>
            <w:tcW w:type="dxa" w:w="4226"/>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Transactional email notifications (volume-based pricing).</w:t>
            </w:r>
          </w:p>
        </w:tc>
        <w:tc>
          <w:tcPr>
            <w:tcW w:type="dxa" w:w="2400"/>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Operating Expenditure</w:t>
            </w:r>
          </w:p>
        </w:tc>
      </w:tr>
      <w:tr>
        <w:tc>
          <w:tcPr>
            <w:tcW w:type="dxa" w:w="2400"/>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b/>
                <w:bCs/>
                <w:color w:val="1A1A1A"/>
                <w:sz w:val="18"/>
                <w:szCs w:val="18"/>
              </w:rPr>
              <w:t xml:space="preserve">Internal Development</w:t>
            </w:r>
          </w:p>
        </w:tc>
        <w:tc>
          <w:tcPr>
            <w:tcW w:type="dxa" w:w="4226"/>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Ongoing development for new modules, enhancements, and maintenance (internal resource).</w:t>
            </w:r>
          </w:p>
        </w:tc>
        <w:tc>
          <w:tcPr>
            <w:tcW w:type="dxa" w:w="2400"/>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Staff Cost</w:t>
            </w:r>
          </w:p>
        </w:tc>
      </w:tr>
      <w:tr>
        <w:tc>
          <w:tcPr>
            <w:tcW w:type="dxa" w:w="2400"/>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A"/>
                <w:sz w:val="18"/>
                <w:szCs w:val="18"/>
              </w:rPr>
              <w:t xml:space="preserve">Security Review &amp; Penetration Test</w:t>
            </w:r>
          </w:p>
        </w:tc>
        <w:tc>
          <w:tcPr>
            <w:tcW w:type="dxa" w:w="4226"/>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One-time professional penetration test and compliance review prior to production go-live.</w:t>
            </w:r>
          </w:p>
        </w:tc>
        <w:tc>
          <w:tcPr>
            <w:tcW w:type="dxa" w:w="2400"/>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Capital Expenditure</w:t>
            </w:r>
          </w:p>
        </w:tc>
      </w:tr>
      <w:tr>
        <w:tc>
          <w:tcPr>
            <w:tcW w:type="dxa" w:w="2400"/>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b/>
                <w:bCs/>
                <w:color w:val="1A1A1A"/>
                <w:sz w:val="18"/>
                <w:szCs w:val="18"/>
              </w:rPr>
              <w:t xml:space="preserve">User Training</w:t>
            </w:r>
          </w:p>
        </w:tc>
        <w:tc>
          <w:tcPr>
            <w:tcW w:type="dxa" w:w="4226"/>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Internal training materials and onboarding sessions for staff and administrators.</w:t>
            </w:r>
          </w:p>
        </w:tc>
        <w:tc>
          <w:tcPr>
            <w:tcW w:type="dxa" w:w="2400"/>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One-Time Cost</w:t>
            </w:r>
          </w:p>
        </w:tc>
      </w:tr>
    </w:tbl>
    <w:p>
      <w:pPr>
        <w:spacing w:after="100" w:before="60"/>
      </w:pPr>
      <w:r>
        <w:rPr>
          <w:rFonts w:ascii="Arial" w:cs="Arial" w:eastAsia="Arial" w:hAnsi="Arial"/>
          <w:b w:val="false"/>
          <w:bCs w:val="false"/>
          <w:i/>
          <w:iCs/>
          <w:color w:val="1A1A1A"/>
          <w:sz w:val="20"/>
          <w:szCs w:val="20"/>
        </w:rPr>
        <w:t xml:space="preserve">A detailed financial analysis with specific cost estimates will be provided in the Project Initiation Document upon approval of this business case.</w:t>
      </w:r>
    </w:p>
    <w:p>
      <w:r>
        <w:br w:type="page"/>
      </w:r>
    </w:p>
    <w:p>
      <w:pPr>
        <w:spacing w:after="0" w:before="400"/>
      </w:pPr>
    </w:p>
    <w:p>
      <w:pPr>
        <w:pStyle w:val="Heading1"/>
        <w:spacing w:after="120" w:before="320"/>
      </w:pPr>
      <w:r>
        <w:rPr>
          <w:rFonts w:ascii="Arial" w:cs="Arial" w:eastAsia="Arial" w:hAnsi="Arial"/>
          <w:b/>
          <w:bCs/>
          <w:color w:val="5C3317"/>
          <w:sz w:val="26"/>
          <w:szCs w:val="26"/>
        </w:rPr>
        <w:t xml:space="preserve">6.  Key Risks</w:t>
      </w:r>
    </w:p>
    <w:p>
      <w:pPr>
        <w:pBdr>
          <w:bottom w:val="single" w:color="B8860B" w:sz="6"/>
        </w:pBdr>
        <w:spacing w:after="120" w:before="0"/>
      </w:pPr>
    </w:p>
    <w:p>
      <w:pPr>
        <w:spacing w:after="100" w:before="60"/>
      </w:pPr>
      <w:r>
        <w:rPr>
          <w:rFonts w:ascii="Arial" w:cs="Arial" w:eastAsia="Arial" w:hAnsi="Arial"/>
          <w:b w:val="false"/>
          <w:bCs w:val="false"/>
          <w:i w:val="false"/>
          <w:iCs w:val="false"/>
          <w:color w:val="1A1A1A"/>
          <w:sz w:val="20"/>
          <w:szCs w:val="20"/>
        </w:rPr>
        <w:t xml:space="preserve">The following risks have been identified. A full risk register is maintained in the Project Initiation Document.</w:t>
      </w:r>
    </w:p>
    <w:p>
      <w:pP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626"/>
        <w:gridCol w:w="1000"/>
        <w:gridCol w:w="3100"/>
      </w:tblGrid>
      <w:tr>
        <w:tc>
          <w:tcPr>
            <w:tcW w:type="dxa" w:w="2300"/>
            <w:tcBorders>
              <w:top w:val="single" w:color="D0C0A0" w:sz="4"/>
              <w:left w:val="single" w:color="D0C0A0" w:sz="4"/>
              <w:bottom w:val="single" w:color="D0C0A0" w:sz="4"/>
              <w:right w:val="single" w:color="D0C0A0" w:sz="4"/>
            </w:tcBorders>
            <w:shd w:fill="5C3317" w:val="clear"/>
            <w:tcMar>
              <w:top w:type="dxa" w:w="80"/>
              <w:left w:type="dxa" w:w="120"/>
              <w:bottom w:type="dxa" w:w="80"/>
              <w:right w:type="dxa" w:w="120"/>
            </w:tcMar>
            <w:vAlign w:val="center"/>
          </w:tcPr>
          <w:p>
            <w:r>
              <w:rPr>
                <w:rFonts w:ascii="Arial" w:cs="Arial" w:eastAsia="Arial" w:hAnsi="Arial"/>
                <w:b/>
                <w:bCs/>
                <w:color w:val="FFFFFF"/>
                <w:sz w:val="18"/>
                <w:szCs w:val="18"/>
              </w:rPr>
              <w:t xml:space="preserve">Risk</w:t>
            </w:r>
          </w:p>
        </w:tc>
        <w:tc>
          <w:tcPr>
            <w:tcW w:type="dxa" w:w="2626"/>
            <w:tcBorders>
              <w:top w:val="single" w:color="D0C0A0" w:sz="4"/>
              <w:left w:val="single" w:color="D0C0A0" w:sz="4"/>
              <w:bottom w:val="single" w:color="D0C0A0" w:sz="4"/>
              <w:right w:val="single" w:color="D0C0A0" w:sz="4"/>
            </w:tcBorders>
            <w:shd w:fill="5C3317" w:val="clear"/>
            <w:tcMar>
              <w:top w:type="dxa" w:w="80"/>
              <w:left w:type="dxa" w:w="120"/>
              <w:bottom w:type="dxa" w:w="80"/>
              <w:right w:type="dxa" w:w="120"/>
            </w:tcMar>
            <w:vAlign w:val="center"/>
          </w:tcPr>
          <w:p>
            <w:r>
              <w:rPr>
                <w:rFonts w:ascii="Arial" w:cs="Arial" w:eastAsia="Arial" w:hAnsi="Arial"/>
                <w:b/>
                <w:bCs/>
                <w:color w:val="FFFFFF"/>
                <w:sz w:val="18"/>
                <w:szCs w:val="18"/>
              </w:rPr>
              <w:t xml:space="preserve">Impact</w:t>
            </w:r>
          </w:p>
        </w:tc>
        <w:tc>
          <w:tcPr>
            <w:tcW w:type="dxa" w:w="1000"/>
            <w:tcBorders>
              <w:top w:val="single" w:color="D0C0A0" w:sz="4"/>
              <w:left w:val="single" w:color="D0C0A0" w:sz="4"/>
              <w:bottom w:val="single" w:color="D0C0A0" w:sz="4"/>
              <w:right w:val="single" w:color="D0C0A0" w:sz="4"/>
            </w:tcBorders>
            <w:shd w:fill="5C3317" w:val="clear"/>
            <w:tcMar>
              <w:top w:type="dxa" w:w="80"/>
              <w:left w:type="dxa" w:w="120"/>
              <w:bottom w:type="dxa" w:w="80"/>
              <w:right w:type="dxa" w:w="120"/>
            </w:tcMar>
            <w:vAlign w:val="center"/>
          </w:tcPr>
          <w:p>
            <w:r>
              <w:rPr>
                <w:rFonts w:ascii="Arial" w:cs="Arial" w:eastAsia="Arial" w:hAnsi="Arial"/>
                <w:b/>
                <w:bCs/>
                <w:color w:val="FFFFFF"/>
                <w:sz w:val="18"/>
                <w:szCs w:val="18"/>
              </w:rPr>
              <w:t xml:space="preserve">Rating</w:t>
            </w:r>
          </w:p>
        </w:tc>
        <w:tc>
          <w:tcPr>
            <w:tcW w:type="dxa" w:w="3100"/>
            <w:tcBorders>
              <w:top w:val="single" w:color="D0C0A0" w:sz="4"/>
              <w:left w:val="single" w:color="D0C0A0" w:sz="4"/>
              <w:bottom w:val="single" w:color="D0C0A0" w:sz="4"/>
              <w:right w:val="single" w:color="D0C0A0" w:sz="4"/>
            </w:tcBorders>
            <w:shd w:fill="5C3317" w:val="clear"/>
            <w:tcMar>
              <w:top w:type="dxa" w:w="80"/>
              <w:left w:type="dxa" w:w="120"/>
              <w:bottom w:type="dxa" w:w="80"/>
              <w:right w:type="dxa" w:w="120"/>
            </w:tcMar>
            <w:vAlign w:val="center"/>
          </w:tcPr>
          <w:p>
            <w:r>
              <w:rPr>
                <w:rFonts w:ascii="Arial" w:cs="Arial" w:eastAsia="Arial" w:hAnsi="Arial"/>
                <w:b/>
                <w:bCs/>
                <w:color w:val="FFFFFF"/>
                <w:sz w:val="18"/>
                <w:szCs w:val="18"/>
              </w:rPr>
              <w:t xml:space="preserve">Mitigation</w:t>
            </w:r>
          </w:p>
        </w:tc>
      </w:tr>
      <w:tr>
        <w:tc>
          <w:tcPr>
            <w:tcW w:type="dxa" w:w="2300"/>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b/>
                <w:bCs/>
                <w:color w:val="1A1A1A"/>
                <w:sz w:val="18"/>
                <w:szCs w:val="18"/>
              </w:rPr>
              <w:t xml:space="preserve">Supabase RLS policies not yet confirmed at database level.</w:t>
            </w:r>
          </w:p>
        </w:tc>
        <w:tc>
          <w:tcPr>
            <w:tcW w:type="dxa" w:w="2626"/>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Unauthorised data access if API controls are bypassed.</w:t>
            </w:r>
          </w:p>
        </w:tc>
        <w:tc>
          <w:tcPr>
            <w:tcW w:type="dxa" w:w="1000"/>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HIGH</w:t>
            </w:r>
          </w:p>
        </w:tc>
        <w:tc>
          <w:tcPr>
            <w:tcW w:type="dxa" w:w="3100"/>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Implement and document row-level security policies prior to go-live.</w:t>
            </w:r>
          </w:p>
        </w:tc>
      </w:tr>
      <w:tr>
        <w:tc>
          <w:tcPr>
            <w:tcW w:type="dxa" w:w="2300"/>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A"/>
                <w:sz w:val="18"/>
                <w:szCs w:val="18"/>
              </w:rPr>
              <w:t xml:space="preserve">Legal sufficiency of electronic signatures not reviewed.</w:t>
            </w:r>
          </w:p>
        </w:tc>
        <w:tc>
          <w:tcPr>
            <w:tcW w:type="dxa" w:w="2626"/>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Signatures may not meet statutory requirements for certain document types.</w:t>
            </w:r>
          </w:p>
        </w:tc>
        <w:tc>
          <w:tcPr>
            <w:tcW w:type="dxa" w:w="1000"/>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HIGH</w:t>
            </w:r>
          </w:p>
        </w:tc>
        <w:tc>
          <w:tcPr>
            <w:tcW w:type="dxa" w:w="3100"/>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Engage legal counsel to review signature adequacy; integrate QES provider if required.</w:t>
            </w:r>
          </w:p>
        </w:tc>
      </w:tr>
      <w:tr>
        <w:tc>
          <w:tcPr>
            <w:tcW w:type="dxa" w:w="2300"/>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b/>
                <w:bCs/>
                <w:color w:val="1A1A1A"/>
                <w:sz w:val="18"/>
                <w:szCs w:val="18"/>
              </w:rPr>
              <w:t xml:space="preserve">Data retention policy absent.</w:t>
            </w:r>
          </w:p>
        </w:tc>
        <w:tc>
          <w:tcPr>
            <w:tcW w:type="dxa" w:w="2626"/>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Retention of personal data (IP, device info) beyond legal limits.</w:t>
            </w:r>
          </w:p>
        </w:tc>
        <w:tc>
          <w:tcPr>
            <w:tcW w:type="dxa" w:w="1000"/>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HIGH</w:t>
            </w:r>
          </w:p>
        </w:tc>
        <w:tc>
          <w:tcPr>
            <w:tcW w:type="dxa" w:w="3100"/>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Define and implement a documented retention and purging policy.</w:t>
            </w:r>
          </w:p>
        </w:tc>
      </w:tr>
      <w:tr>
        <w:tc>
          <w:tcPr>
            <w:tcW w:type="dxa" w:w="2300"/>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A"/>
                <w:sz w:val="18"/>
                <w:szCs w:val="18"/>
              </w:rPr>
              <w:t xml:space="preserve">Biometric enrolment not mandated for high-risk approvers.</w:t>
            </w:r>
          </w:p>
        </w:tc>
        <w:tc>
          <w:tcPr>
            <w:tcW w:type="dxa" w:w="2626"/>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HIGH-risk approvals fall back to MFA, reducing assurance level.</w:t>
            </w:r>
          </w:p>
        </w:tc>
        <w:tc>
          <w:tcPr>
            <w:tcW w:type="dxa" w:w="1000"/>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MEDIUM</w:t>
            </w:r>
          </w:p>
        </w:tc>
        <w:tc>
          <w:tcPr>
            <w:tcW w:type="dxa" w:w="3100"/>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Require enrolment as a condition of HIGH-risk approver role assignment.</w:t>
            </w:r>
          </w:p>
        </w:tc>
      </w:tr>
      <w:tr>
        <w:tc>
          <w:tcPr>
            <w:tcW w:type="dxa" w:w="2300"/>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b/>
                <w:bCs/>
                <w:color w:val="1A1A1A"/>
                <w:sz w:val="18"/>
                <w:szCs w:val="18"/>
              </w:rPr>
              <w:t xml:space="preserve">HRIMS organogram unavailability.</w:t>
            </w:r>
          </w:p>
        </w:tc>
        <w:tc>
          <w:tcPr>
            <w:tcW w:type="dxa" w:w="2626"/>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Workflows requiring dynamic approver resolution will fail.</w:t>
            </w:r>
          </w:p>
        </w:tc>
        <w:tc>
          <w:tcPr>
            <w:tcW w:type="dxa" w:w="1000"/>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MEDIUM</w:t>
            </w:r>
          </w:p>
        </w:tc>
        <w:tc>
          <w:tcPr>
            <w:tcW w:type="dxa" w:w="3100"/>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Implement organogram caching and manual fallback assignment.</w:t>
            </w:r>
          </w:p>
        </w:tc>
      </w:tr>
      <w:tr>
        <w:tc>
          <w:tcPr>
            <w:tcW w:type="dxa" w:w="2300"/>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A"/>
                <w:sz w:val="18"/>
                <w:szCs w:val="18"/>
              </w:rPr>
              <w:t xml:space="preserve">Scope expansion without governance.</w:t>
            </w:r>
          </w:p>
        </w:tc>
        <w:tc>
          <w:tcPr>
            <w:tcW w:type="dxa" w:w="2626"/>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Adding new modules without structured review risks quality regression.</w:t>
            </w:r>
          </w:p>
        </w:tc>
        <w:tc>
          <w:tcPr>
            <w:tcW w:type="dxa" w:w="1000"/>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MEDIUM</w:t>
            </w:r>
          </w:p>
        </w:tc>
        <w:tc>
          <w:tcPr>
            <w:tcW w:type="dxa" w:w="3100"/>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Each new module follows a defined design, review, test, and approval cycle.</w:t>
            </w:r>
          </w:p>
        </w:tc>
      </w:tr>
    </w:tbl>
    <w:p>
      <w:r>
        <w:br w:type="page"/>
      </w:r>
    </w:p>
    <w:p>
      <w:pPr>
        <w:spacing w:after="0" w:before="400"/>
      </w:pPr>
    </w:p>
    <w:p>
      <w:pPr>
        <w:pStyle w:val="Heading1"/>
        <w:spacing w:after="120" w:before="320"/>
      </w:pPr>
      <w:r>
        <w:rPr>
          <w:rFonts w:ascii="Arial" w:cs="Arial" w:eastAsia="Arial" w:hAnsi="Arial"/>
          <w:b/>
          <w:bCs/>
          <w:color w:val="5C3317"/>
          <w:sz w:val="26"/>
          <w:szCs w:val="26"/>
        </w:rPr>
        <w:t xml:space="preserve">7.  Recommendation</w:t>
      </w:r>
    </w:p>
    <w:p>
      <w:pPr>
        <w:pBdr>
          <w:bottom w:val="single" w:color="B8860B" w:sz="6"/>
        </w:pBdr>
        <w:spacing w:after="120" w:before="0"/>
      </w:pPr>
    </w:p>
    <w:p>
      <w:pPr>
        <w:spacing w:after="100" w:before="60"/>
      </w:pPr>
      <w:r>
        <w:rPr>
          <w:rFonts w:ascii="Arial" w:cs="Arial" w:eastAsia="Arial" w:hAnsi="Arial"/>
          <w:b w:val="false"/>
          <w:bCs w:val="false"/>
          <w:i w:val="false"/>
          <w:iCs w:val="false"/>
          <w:color w:val="1A1A1A"/>
          <w:sz w:val="20"/>
          <w:szCs w:val="20"/>
        </w:rPr>
        <w:t xml:space="preserve">It is recommended that RTG's Executive Committee approves The Circle for full production deployment, subject to the following conditions:</w:t>
      </w:r>
    </w:p>
    <w:p>
      <w:pPr>
        <w:spacing w:after="0" w:before="200"/>
      </w:pPr>
    </w:p>
    <w:p>
      <w:pPr>
        <w:pStyle w:val="ListParagraph"/>
        <w:numPr>
          <w:ilvl w:val="0"/>
          <w:numId w:val="2"/>
        </w:numPr>
        <w:spacing w:after="60" w:before="40"/>
      </w:pPr>
      <w:r>
        <w:rPr>
          <w:rFonts w:ascii="Arial" w:cs="Arial" w:eastAsia="Arial" w:hAnsi="Arial"/>
          <w:color w:val="1A1A1A"/>
          <w:sz w:val="20"/>
          <w:szCs w:val="20"/>
        </w:rPr>
        <w:t xml:space="preserve">Completion of the database security review and implementation of Supabase row-level security policies.</w:t>
      </w:r>
    </w:p>
    <w:p>
      <w:pPr>
        <w:pStyle w:val="ListParagraph"/>
        <w:numPr>
          <w:ilvl w:val="0"/>
          <w:numId w:val="2"/>
        </w:numPr>
        <w:spacing w:after="60" w:before="40"/>
      </w:pPr>
      <w:r>
        <w:rPr>
          <w:rFonts w:ascii="Arial" w:cs="Arial" w:eastAsia="Arial" w:hAnsi="Arial"/>
          <w:color w:val="1A1A1A"/>
          <w:sz w:val="20"/>
          <w:szCs w:val="20"/>
        </w:rPr>
        <w:t xml:space="preserve">Legal review of electronic signature sufficiency for all document types in scope.</w:t>
      </w:r>
    </w:p>
    <w:p>
      <w:pPr>
        <w:pStyle w:val="ListParagraph"/>
        <w:numPr>
          <w:ilvl w:val="0"/>
          <w:numId w:val="2"/>
        </w:numPr>
        <w:spacing w:after="60" w:before="40"/>
      </w:pPr>
      <w:r>
        <w:rPr>
          <w:rFonts w:ascii="Arial" w:cs="Arial" w:eastAsia="Arial" w:hAnsi="Arial"/>
          <w:color w:val="1A1A1A"/>
          <w:sz w:val="20"/>
          <w:szCs w:val="20"/>
        </w:rPr>
        <w:t xml:space="preserve">Definition and implementation of a data retention and purging policy.</w:t>
      </w:r>
    </w:p>
    <w:p>
      <w:pPr>
        <w:pStyle w:val="ListParagraph"/>
        <w:numPr>
          <w:ilvl w:val="0"/>
          <w:numId w:val="2"/>
        </w:numPr>
        <w:spacing w:after="60" w:before="40"/>
      </w:pPr>
      <w:r>
        <w:rPr>
          <w:rFonts w:ascii="Arial" w:cs="Arial" w:eastAsia="Arial" w:hAnsi="Arial"/>
          <w:color w:val="1A1A1A"/>
          <w:sz w:val="20"/>
          <w:szCs w:val="20"/>
        </w:rPr>
        <w:t xml:space="preserve">Successful penetration test with no critical findings outstanding at go-live.</w:t>
      </w:r>
    </w:p>
    <w:p>
      <w:pPr>
        <w:pStyle w:val="ListParagraph"/>
        <w:numPr>
          <w:ilvl w:val="0"/>
          <w:numId w:val="2"/>
        </w:numPr>
        <w:spacing w:after="60" w:before="40"/>
      </w:pPr>
      <w:r>
        <w:rPr>
          <w:rFonts w:ascii="Arial" w:cs="Arial" w:eastAsia="Arial" w:hAnsi="Arial"/>
          <w:color w:val="1A1A1A"/>
          <w:sz w:val="20"/>
          <w:szCs w:val="20"/>
        </w:rPr>
        <w:t xml:space="preserve">User acceptance testing completed and signed off by departmental heads.</w:t>
      </w:r>
    </w:p>
    <w:p>
      <w:pPr>
        <w:spacing w:after="0" w:before="800"/>
      </w:pPr>
    </w:p>
    <w:p>
      <w:pPr>
        <w:spacing w:after="100" w:before="60"/>
      </w:pPr>
      <w:r>
        <w:rPr>
          <w:rFonts w:ascii="Arial" w:cs="Arial" w:eastAsia="Arial" w:hAnsi="Arial"/>
          <w:b w:val="false"/>
          <w:bCs w:val="false"/>
          <w:i w:val="false"/>
          <w:iCs w:val="false"/>
          <w:color w:val="1A1A1A"/>
          <w:sz w:val="20"/>
          <w:szCs w:val="20"/>
        </w:rPr>
        <w:t xml:space="preserve">Subject to the above conditions, The Circle represents a significant and necessary step in RTG's governance maturity and digital transformation journey. The platform is technically sophisticated, substantially complete, and purpose-built for RTG's operational context.</w:t>
      </w:r>
    </w:p>
    <w:p>
      <w:pPr>
        <w:spacing w:after="0" w:before="1200"/>
      </w:pPr>
    </w:p>
    <w:p>
      <w:pPr>
        <w:pStyle w:val="Heading2"/>
        <w:spacing w:after="80" w:before="220"/>
      </w:pPr>
      <w:r>
        <w:rPr>
          <w:rFonts w:ascii="Arial" w:cs="Arial" w:eastAsia="Arial" w:hAnsi="Arial"/>
          <w:b/>
          <w:bCs/>
          <w:color w:val="5C3317"/>
          <w:sz w:val="22"/>
          <w:szCs w:val="22"/>
        </w:rPr>
        <w:t xml:space="preserve">7.1  Decision Required</w:t>
      </w:r>
    </w:p>
    <w:p>
      <w:pP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26"/>
        <w:gridCol w:w="3000"/>
      </w:tblGrid>
      <w:tr>
        <w:tc>
          <w:tcPr>
            <w:tcW w:type="dxa" w:w="2800"/>
            <w:tcBorders>
              <w:top w:val="single" w:color="D0C0A0" w:sz="4"/>
              <w:left w:val="single" w:color="D0C0A0" w:sz="4"/>
              <w:bottom w:val="single" w:color="D0C0A0" w:sz="4"/>
              <w:right w:val="single" w:color="D0C0A0" w:sz="4"/>
            </w:tcBorders>
            <w:shd w:fill="5C3317" w:val="clear"/>
            <w:tcMar>
              <w:top w:type="dxa" w:w="80"/>
              <w:left w:type="dxa" w:w="120"/>
              <w:bottom w:type="dxa" w:w="80"/>
              <w:right w:type="dxa" w:w="120"/>
            </w:tcMar>
            <w:vAlign w:val="center"/>
          </w:tcPr>
          <w:p>
            <w:r>
              <w:rPr>
                <w:rFonts w:ascii="Arial" w:cs="Arial" w:eastAsia="Arial" w:hAnsi="Arial"/>
                <w:b/>
                <w:bCs/>
                <w:color w:val="FFFFFF"/>
                <w:sz w:val="18"/>
                <w:szCs w:val="18"/>
              </w:rPr>
              <w:t xml:space="preserve">Decision</w:t>
            </w:r>
          </w:p>
        </w:tc>
        <w:tc>
          <w:tcPr>
            <w:tcW w:type="dxa" w:w="3226"/>
            <w:tcBorders>
              <w:top w:val="single" w:color="D0C0A0" w:sz="4"/>
              <w:left w:val="single" w:color="D0C0A0" w:sz="4"/>
              <w:bottom w:val="single" w:color="D0C0A0" w:sz="4"/>
              <w:right w:val="single" w:color="D0C0A0" w:sz="4"/>
            </w:tcBorders>
            <w:shd w:fill="5C3317" w:val="clear"/>
            <w:tcMar>
              <w:top w:type="dxa" w:w="80"/>
              <w:left w:type="dxa" w:w="120"/>
              <w:bottom w:type="dxa" w:w="80"/>
              <w:right w:type="dxa" w:w="120"/>
            </w:tcMar>
            <w:vAlign w:val="center"/>
          </w:tcPr>
          <w:p>
            <w:r>
              <w:rPr>
                <w:rFonts w:ascii="Arial" w:cs="Arial" w:eastAsia="Arial" w:hAnsi="Arial"/>
                <w:b/>
                <w:bCs/>
                <w:color w:val="FFFFFF"/>
                <w:sz w:val="18"/>
                <w:szCs w:val="18"/>
              </w:rPr>
              <w:t xml:space="preserve">Name / Title</w:t>
            </w:r>
          </w:p>
        </w:tc>
        <w:tc>
          <w:tcPr>
            <w:tcW w:type="dxa" w:w="3000"/>
            <w:tcBorders>
              <w:top w:val="single" w:color="D0C0A0" w:sz="4"/>
              <w:left w:val="single" w:color="D0C0A0" w:sz="4"/>
              <w:bottom w:val="single" w:color="D0C0A0" w:sz="4"/>
              <w:right w:val="single" w:color="D0C0A0" w:sz="4"/>
            </w:tcBorders>
            <w:shd w:fill="5C3317" w:val="clear"/>
            <w:tcMar>
              <w:top w:type="dxa" w:w="80"/>
              <w:left w:type="dxa" w:w="120"/>
              <w:bottom w:type="dxa" w:w="80"/>
              <w:right w:type="dxa" w:w="120"/>
            </w:tcMar>
            <w:vAlign w:val="center"/>
          </w:tcPr>
          <w:p>
            <w:r>
              <w:rPr>
                <w:rFonts w:ascii="Arial" w:cs="Arial" w:eastAsia="Arial" w:hAnsi="Arial"/>
                <w:b/>
                <w:bCs/>
                <w:color w:val="FFFFFF"/>
                <w:sz w:val="18"/>
                <w:szCs w:val="18"/>
              </w:rPr>
              <w:t xml:space="preserve">Signature &amp; Date</w:t>
            </w:r>
          </w:p>
        </w:tc>
      </w:tr>
      <w:tr>
        <w:tc>
          <w:tcPr>
            <w:tcW w:type="dxa" w:w="2800"/>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b/>
                <w:bCs/>
                <w:color w:val="1A1A1A"/>
                <w:sz w:val="18"/>
                <w:szCs w:val="18"/>
              </w:rPr>
              <w:t xml:space="preserve">Approved</w:t>
            </w:r>
          </w:p>
        </w:tc>
        <w:tc>
          <w:tcPr>
            <w:tcW w:type="dxa" w:w="3226"/>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
            </w:r>
          </w:p>
        </w:tc>
        <w:tc>
          <w:tcPr>
            <w:tcW w:type="dxa" w:w="3000"/>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
            </w:r>
          </w:p>
        </w:tc>
      </w:tr>
      <w:tr>
        <w:tc>
          <w:tcPr>
            <w:tcW w:type="dxa" w:w="2800"/>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A"/>
                <w:sz w:val="18"/>
                <w:szCs w:val="18"/>
              </w:rPr>
              <w:t xml:space="preserve">Rejected</w:t>
            </w:r>
          </w:p>
        </w:tc>
        <w:tc>
          <w:tcPr>
            <w:tcW w:type="dxa" w:w="3226"/>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
            </w:r>
          </w:p>
        </w:tc>
        <w:tc>
          <w:tcPr>
            <w:tcW w:type="dxa" w:w="3000"/>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
            </w:r>
          </w:p>
        </w:tc>
      </w:tr>
      <w:tr>
        <w:tc>
          <w:tcPr>
            <w:tcW w:type="dxa" w:w="2800"/>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b/>
                <w:bCs/>
                <w:color w:val="1A1A1A"/>
                <w:sz w:val="18"/>
                <w:szCs w:val="18"/>
              </w:rPr>
              <w:t xml:space="preserve">Deferred — Conditions</w:t>
            </w:r>
          </w:p>
        </w:tc>
        <w:tc>
          <w:tcPr>
            <w:tcW w:type="dxa" w:w="3226"/>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
            </w:r>
          </w:p>
        </w:tc>
        <w:tc>
          <w:tcPr>
            <w:tcW w:type="dxa" w:w="3000"/>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
            </w:r>
          </w:p>
        </w:tc>
      </w:tr>
    </w:tbl>
    <w:p>
      <w:pPr>
        <w:spacing w:after="0" w:before="1200"/>
      </w:pPr>
    </w:p>
    <w:p>
      <w:pPr>
        <w:pStyle w:val="Heading2"/>
        <w:spacing w:after="80" w:before="220"/>
      </w:pPr>
      <w:r>
        <w:rPr>
          <w:rFonts w:ascii="Arial" w:cs="Arial" w:eastAsia="Arial" w:hAnsi="Arial"/>
          <w:b/>
          <w:bCs/>
          <w:color w:val="5C3317"/>
          <w:sz w:val="22"/>
          <w:szCs w:val="22"/>
        </w:rPr>
        <w:t xml:space="preserve">7.2  Document Approval</w:t>
      </w:r>
    </w:p>
    <w:p>
      <w:pP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26"/>
        <w:gridCol w:w="2000"/>
      </w:tblGrid>
      <w:tr>
        <w:tc>
          <w:tcPr>
            <w:tcW w:type="dxa" w:w="2400"/>
            <w:tcBorders>
              <w:top w:val="single" w:color="D0C0A0" w:sz="4"/>
              <w:left w:val="single" w:color="D0C0A0" w:sz="4"/>
              <w:bottom w:val="single" w:color="D0C0A0" w:sz="4"/>
              <w:right w:val="single" w:color="D0C0A0" w:sz="4"/>
            </w:tcBorders>
            <w:shd w:fill="5C3317" w:val="clear"/>
            <w:tcMar>
              <w:top w:type="dxa" w:w="80"/>
              <w:left w:type="dxa" w:w="120"/>
              <w:bottom w:type="dxa" w:w="80"/>
              <w:right w:type="dxa" w:w="120"/>
            </w:tcMar>
            <w:vAlign w:val="center"/>
          </w:tcPr>
          <w:p>
            <w:r>
              <w:rPr>
                <w:rFonts w:ascii="Arial" w:cs="Arial" w:eastAsia="Arial" w:hAnsi="Arial"/>
                <w:b/>
                <w:bCs/>
                <w:color w:val="FFFFFF"/>
                <w:sz w:val="18"/>
                <w:szCs w:val="18"/>
              </w:rPr>
              <w:t xml:space="preserve">Role</w:t>
            </w:r>
          </w:p>
        </w:tc>
        <w:tc>
          <w:tcPr>
            <w:tcW w:type="dxa" w:w="2400"/>
            <w:tcBorders>
              <w:top w:val="single" w:color="D0C0A0" w:sz="4"/>
              <w:left w:val="single" w:color="D0C0A0" w:sz="4"/>
              <w:bottom w:val="single" w:color="D0C0A0" w:sz="4"/>
              <w:right w:val="single" w:color="D0C0A0" w:sz="4"/>
            </w:tcBorders>
            <w:shd w:fill="5C3317" w:val="clear"/>
            <w:tcMar>
              <w:top w:type="dxa" w:w="80"/>
              <w:left w:type="dxa" w:w="120"/>
              <w:bottom w:type="dxa" w:w="80"/>
              <w:right w:type="dxa" w:w="120"/>
            </w:tcMar>
            <w:vAlign w:val="center"/>
          </w:tcPr>
          <w:p>
            <w:r>
              <w:rPr>
                <w:rFonts w:ascii="Arial" w:cs="Arial" w:eastAsia="Arial" w:hAnsi="Arial"/>
                <w:b/>
                <w:bCs/>
                <w:color w:val="FFFFFF"/>
                <w:sz w:val="18"/>
                <w:szCs w:val="18"/>
              </w:rPr>
              <w:t xml:space="preserve">Name</w:t>
            </w:r>
          </w:p>
        </w:tc>
        <w:tc>
          <w:tcPr>
            <w:tcW w:type="dxa" w:w="2226"/>
            <w:tcBorders>
              <w:top w:val="single" w:color="D0C0A0" w:sz="4"/>
              <w:left w:val="single" w:color="D0C0A0" w:sz="4"/>
              <w:bottom w:val="single" w:color="D0C0A0" w:sz="4"/>
              <w:right w:val="single" w:color="D0C0A0" w:sz="4"/>
            </w:tcBorders>
            <w:shd w:fill="5C3317" w:val="clear"/>
            <w:tcMar>
              <w:top w:type="dxa" w:w="80"/>
              <w:left w:type="dxa" w:w="120"/>
              <w:bottom w:type="dxa" w:w="80"/>
              <w:right w:type="dxa" w:w="120"/>
            </w:tcMar>
            <w:vAlign w:val="center"/>
          </w:tcPr>
          <w:p>
            <w:r>
              <w:rPr>
                <w:rFonts w:ascii="Arial" w:cs="Arial" w:eastAsia="Arial" w:hAnsi="Arial"/>
                <w:b/>
                <w:bCs/>
                <w:color w:val="FFFFFF"/>
                <w:sz w:val="18"/>
                <w:szCs w:val="18"/>
              </w:rPr>
              <w:t xml:space="preserve">Signature</w:t>
            </w:r>
          </w:p>
        </w:tc>
        <w:tc>
          <w:tcPr>
            <w:tcW w:type="dxa" w:w="2000"/>
            <w:tcBorders>
              <w:top w:val="single" w:color="D0C0A0" w:sz="4"/>
              <w:left w:val="single" w:color="D0C0A0" w:sz="4"/>
              <w:bottom w:val="single" w:color="D0C0A0" w:sz="4"/>
              <w:right w:val="single" w:color="D0C0A0" w:sz="4"/>
            </w:tcBorders>
            <w:shd w:fill="5C3317" w:val="clear"/>
            <w:tcMar>
              <w:top w:type="dxa" w:w="80"/>
              <w:left w:type="dxa" w:w="120"/>
              <w:bottom w:type="dxa" w:w="80"/>
              <w:right w:type="dxa" w:w="120"/>
            </w:tcMar>
            <w:vAlign w:val="center"/>
          </w:tcPr>
          <w:p>
            <w:r>
              <w:rPr>
                <w:rFonts w:ascii="Arial" w:cs="Arial" w:eastAsia="Arial" w:hAnsi="Arial"/>
                <w:b/>
                <w:bCs/>
                <w:color w:val="FFFFFF"/>
                <w:sz w:val="18"/>
                <w:szCs w:val="18"/>
              </w:rPr>
              <w:t xml:space="preserve">Date</w:t>
            </w:r>
          </w:p>
        </w:tc>
      </w:tr>
      <w:tr>
        <w:tc>
          <w:tcPr>
            <w:tcW w:type="dxa" w:w="2400"/>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b/>
                <w:bCs/>
                <w:color w:val="1A1A1A"/>
                <w:sz w:val="18"/>
                <w:szCs w:val="18"/>
              </w:rPr>
              <w:t xml:space="preserve">Prepared by</w:t>
            </w:r>
          </w:p>
        </w:tc>
        <w:tc>
          <w:tcPr>
            <w:tcW w:type="dxa" w:w="2400"/>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
            </w:r>
          </w:p>
        </w:tc>
        <w:tc>
          <w:tcPr>
            <w:tcW w:type="dxa" w:w="2226"/>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
            </w:r>
          </w:p>
        </w:tc>
        <w:tc>
          <w:tcPr>
            <w:tcW w:type="dxa" w:w="2000"/>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
            </w:r>
          </w:p>
        </w:tc>
      </w:tr>
      <w:tr>
        <w:tc>
          <w:tcPr>
            <w:tcW w:type="dxa" w:w="2400"/>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A"/>
                <w:sz w:val="18"/>
                <w:szCs w:val="18"/>
              </w:rPr>
              <w:t xml:space="preserve">Reviewed by</w:t>
            </w:r>
          </w:p>
        </w:tc>
        <w:tc>
          <w:tcPr>
            <w:tcW w:type="dxa" w:w="2400"/>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
            </w:r>
          </w:p>
        </w:tc>
        <w:tc>
          <w:tcPr>
            <w:tcW w:type="dxa" w:w="2226"/>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
            </w:r>
          </w:p>
        </w:tc>
        <w:tc>
          <w:tcPr>
            <w:tcW w:type="dxa" w:w="2000"/>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
            </w:r>
          </w:p>
        </w:tc>
      </w:tr>
      <w:tr>
        <w:tc>
          <w:tcPr>
            <w:tcW w:type="dxa" w:w="2400"/>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b/>
                <w:bCs/>
                <w:color w:val="1A1A1A"/>
                <w:sz w:val="18"/>
                <w:szCs w:val="18"/>
              </w:rPr>
              <w:t xml:space="preserve">Endorsed by</w:t>
            </w:r>
          </w:p>
        </w:tc>
        <w:tc>
          <w:tcPr>
            <w:tcW w:type="dxa" w:w="2400"/>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
            </w:r>
          </w:p>
        </w:tc>
        <w:tc>
          <w:tcPr>
            <w:tcW w:type="dxa" w:w="2226"/>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
            </w:r>
          </w:p>
        </w:tc>
        <w:tc>
          <w:tcPr>
            <w:tcW w:type="dxa" w:w="2000"/>
            <w:tcBorders>
              <w:top w:val="single" w:color="D0C0A0" w:sz="4"/>
              <w:left w:val="single" w:color="D0C0A0" w:sz="4"/>
              <w:bottom w:val="single" w:color="D0C0A0" w:sz="4"/>
              <w:right w:val="single" w:color="D0C0A0" w:sz="4"/>
            </w:tcBorders>
            <w:shd w:fill="F5EFE6"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
            </w:r>
          </w:p>
        </w:tc>
      </w:tr>
      <w:tr>
        <w:tc>
          <w:tcPr>
            <w:tcW w:type="dxa" w:w="2400"/>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A"/>
                <w:sz w:val="18"/>
                <w:szCs w:val="18"/>
              </w:rPr>
              <w:t xml:space="preserve">Approved by</w:t>
            </w:r>
          </w:p>
        </w:tc>
        <w:tc>
          <w:tcPr>
            <w:tcW w:type="dxa" w:w="2400"/>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
            </w:r>
          </w:p>
        </w:tc>
        <w:tc>
          <w:tcPr>
            <w:tcW w:type="dxa" w:w="2226"/>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
            </w:r>
          </w:p>
        </w:tc>
        <w:tc>
          <w:tcPr>
            <w:tcW w:type="dxa" w:w="2000"/>
            <w:tcBorders>
              <w:top w:val="single" w:color="D0C0A0" w:sz="4"/>
              <w:left w:val="single" w:color="D0C0A0" w:sz="4"/>
              <w:bottom w:val="single" w:color="D0C0A0" w:sz="4"/>
              <w:right w:val="single" w:color="D0C0A0" w:sz="4"/>
            </w:tcBorders>
            <w:shd w:fill="FFFFFF" w:val="clear"/>
            <w:tcMar>
              <w:top w:type="dxa" w:w="80"/>
              <w:left w:type="dxa" w:w="120"/>
              <w:bottom w:type="dxa" w:w="80"/>
              <w:right w:type="dxa" w:w="120"/>
            </w:tcMar>
            <w:vAlign w:val="top"/>
          </w:tcPr>
          <w:p>
            <w:pPr>
              <w:spacing w:after="0" w:before="0"/>
            </w:pPr>
            <w:r>
              <w:rPr>
                <w:rFonts w:ascii="Arial" w:cs="Arial" w:eastAsia="Arial" w:hAnsi="Arial"/>
                <w:color w:val="1A1A1A"/>
                <w:sz w:val="18"/>
                <w:szCs w:val="18"/>
              </w:rPr>
              <w:t xml:space="preserve"/>
            </w:r>
          </w:p>
        </w:tc>
      </w:tr>
    </w:tbl>
    <w:p>
      <w:pPr>
        <w:spacing w:after="0" w:before="1200"/>
      </w:pPr>
    </w:p>
    <w:p>
      <w:pPr>
        <w:pBdr>
          <w:bottom w:val="single" w:color="D0C0A0" w:sz="6"/>
        </w:pBdr>
        <w:spacing w:after="120" w:before="0"/>
      </w:pPr>
    </w:p>
    <w:p>
      <w:pPr>
        <w:spacing w:after="0" w:before="80"/>
        <w:jc w:val="center"/>
      </w:pPr>
      <w:r>
        <w:rPr>
          <w:rFonts w:ascii="Arial" w:cs="Arial" w:eastAsia="Arial" w:hAnsi="Arial"/>
          <w:color w:val="666666"/>
          <w:sz w:val="16"/>
          <w:szCs w:val="16"/>
        </w:rPr>
        <w:t xml:space="preserve">Rainbow Tourism Group Limited  |  The Circle — Business Case  |  v1.0  |  16 June 2026  |  INTERNAL — CONFIDENTIAL</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C0A0" w:sz="4"/>
      </w:pBdr>
      <w:tabs>
        <w:tab w:val="right" w:pos="9026"/>
      </w:tabs>
      <w:spacing w:after="0" w:before="120"/>
    </w:pPr>
    <w:r>
      <w:rPr>
        <w:rFonts w:ascii="Arial" w:cs="Arial" w:eastAsia="Arial" w:hAnsi="Arial"/>
        <w:color w:val="666666"/>
        <w:sz w:val="16"/>
        <w:szCs w:val="16"/>
      </w:rPr>
      <w:t xml:space="preserve">INTERNAL — CONFIDENTIAL</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C0A0" w:sz="4"/>
      </w:pBdr>
      <w:spacing w:after="120" w:before="0"/>
      <w:jc w:val="right"/>
    </w:pPr>
    <w:r>
      <w:rPr>
        <w:rFonts w:ascii="Arial" w:cs="Arial" w:eastAsia="Arial" w:hAnsi="Arial"/>
        <w:color w:val="666666"/>
        <w:sz w:val="16"/>
        <w:szCs w:val="16"/>
      </w:rPr>
      <w:t xml:space="preserve">THE CIRCLE — Business Case  |  Rainbow Tourism Group Limited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5C3317"/>
      <w:sz w:val="26"/>
      <w:szCs w:val="26"/>
    </w:rPr>
  </w:style>
  <w:style w:type="paragraph" w:styleId="Heading2">
    <w:name w:val="Heading 2"/>
    <w:basedOn w:val="Normal"/>
    <w:next w:val="Normal"/>
    <w:qFormat/>
    <w:pPr>
      <w:spacing w:after="80" w:before="220"/>
      <w:outlineLvl w:val="1"/>
    </w:pPr>
    <w:rPr>
      <w:rFonts w:ascii="Arial" w:cs="Arial" w:eastAsia="Arial" w:hAnsi="Arial"/>
      <w:b/>
      <w:bCs/>
      <w:color w:val="5C331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20d020b327da6a4620030b1c9c62fcfd54d3f7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2026-06-16T10:23:24.453Z</dcterms:created>
  <dcterms:modified xsi:type="dcterms:W3CDTF">2026-06-16T10:23:24.461Z</dcterms:modified>
</cp:coreProperties>
</file>

<file path=docProps/custom.xml><?xml version="1.0" encoding="utf-8"?>
<Properties xmlns="http://schemas.openxmlformats.org/officeDocument/2006/custom-properties" xmlns:vt="http://schemas.openxmlformats.org/officeDocument/2006/docPropsVTypes"/>
</file>