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834" w:rsidRDefault="004E6834">
      <w:pPr>
        <w:spacing w:before="1440" w:after="0"/>
      </w:pPr>
    </w:p>
    <w:p w:rsidR="004E6834" w:rsidRDefault="006836CB">
      <w:pPr>
        <w:spacing w:after="240"/>
        <w:jc w:val="center"/>
      </w:pPr>
      <w:r>
        <w:rPr>
          <w:b/>
          <w:color w:val="1F3864"/>
          <w:sz w:val="52"/>
        </w:rPr>
        <w:t>RAINBOW TOURISM GROUP LIMITED</w:t>
      </w:r>
    </w:p>
    <w:p w:rsidR="004E6834" w:rsidRDefault="006836CB">
      <w:pPr>
        <w:spacing w:after="160"/>
        <w:jc w:val="center"/>
      </w:pPr>
      <w:r>
        <w:rPr>
          <w:b/>
          <w:color w:val="2E75B6"/>
          <w:sz w:val="40"/>
        </w:rPr>
        <w:t>Q1 2026 MANAGEMENT ACCOUNTS</w:t>
      </w:r>
    </w:p>
    <w:p w:rsidR="004E6834" w:rsidRDefault="006836CB">
      <w:pPr>
        <w:spacing w:after="160"/>
        <w:jc w:val="center"/>
      </w:pPr>
      <w:r>
        <w:rPr>
          <w:b/>
          <w:color w:val="1F3864"/>
          <w:sz w:val="28"/>
        </w:rPr>
        <w:t>PERIOD ENDING 31 MARCH 2026</w:t>
      </w:r>
    </w:p>
    <w:p w:rsidR="004E6834" w:rsidRDefault="006836CB">
      <w:pPr>
        <w:spacing w:after="960"/>
        <w:jc w:val="center"/>
      </w:pPr>
      <w:r>
        <w:rPr>
          <w:color w:val="555555"/>
          <w:sz w:val="24"/>
        </w:rPr>
        <w:t>Financial Performance Commentary &amp; Analysis</w:t>
      </w:r>
    </w:p>
    <w:tbl>
      <w:tblPr>
        <w:tblStyle w:val="TableGrid"/>
        <w:tblW w:w="0" w:type="auto"/>
        <w:tblLook w:val="04A0" w:firstRow="1" w:lastRow="0" w:firstColumn="1" w:lastColumn="0" w:noHBand="0" w:noVBand="1"/>
      </w:tblPr>
      <w:tblGrid>
        <w:gridCol w:w="9360"/>
      </w:tblGrid>
      <w:tr w:rsidR="004E6834">
        <w:tc>
          <w:tcPr>
            <w:tcW w:w="9360" w:type="dxa"/>
            <w:shd w:val="clear" w:color="auto" w:fill="1F3864"/>
          </w:tcPr>
          <w:p w:rsidR="004E6834" w:rsidRDefault="004E6834"/>
          <w:p w:rsidR="004E6834" w:rsidRDefault="006836CB">
            <w:r>
              <w:rPr>
                <w:color w:val="FFFFFF"/>
              </w:rPr>
              <w:t>Prepared by: Finance Department</w:t>
            </w:r>
          </w:p>
          <w:p w:rsidR="004E6834" w:rsidRDefault="006836CB">
            <w:r>
              <w:rPr>
                <w:color w:val="FFFFFF"/>
              </w:rPr>
              <w:t>Date: May 2026</w:t>
            </w:r>
          </w:p>
          <w:p w:rsidR="004E6834" w:rsidRDefault="006836CB">
            <w:r>
              <w:rPr>
                <w:b/>
                <w:color w:val="FFFFFF"/>
              </w:rPr>
              <w:t>Classification: CONFIDENTIAL</w:t>
            </w:r>
          </w:p>
        </w:tc>
      </w:tr>
    </w:tbl>
    <w:p w:rsidR="004E6834" w:rsidRDefault="006836CB">
      <w:r>
        <w:br w:type="page"/>
      </w:r>
    </w:p>
    <w:p w:rsidR="004E6834" w:rsidRDefault="006836CB">
      <w:pPr>
        <w:pBdr>
          <w:bottom w:val="single" w:sz="12" w:space="1" w:color="2E75B6"/>
        </w:pBdr>
        <w:spacing w:before="360" w:after="120"/>
      </w:pPr>
      <w:r>
        <w:rPr>
          <w:b/>
          <w:color w:val="1F3864"/>
          <w:sz w:val="32"/>
        </w:rPr>
        <w:lastRenderedPageBreak/>
        <w:t>1.  EXECUTIVE SUMMARY</w:t>
      </w:r>
    </w:p>
    <w:p w:rsidR="004E6834" w:rsidRDefault="006836CB">
      <w:pPr>
        <w:spacing w:after="120"/>
      </w:pPr>
      <w:r>
        <w:t xml:space="preserve">The Rainbow Tourism Group recorded </w:t>
      </w:r>
      <w:r w:rsidRPr="006836CB">
        <w:rPr>
          <w:highlight w:val="lightGray"/>
        </w:rPr>
        <w:t xml:space="preserve">total revenues of </w:t>
      </w:r>
      <w:r w:rsidRPr="006836CB">
        <w:rPr>
          <w:b/>
          <w:color w:val="1F3864"/>
          <w:highlight w:val="lightGray"/>
        </w:rPr>
        <w:t xml:space="preserve">US$11,410,909 </w:t>
      </w:r>
      <w:r w:rsidRPr="006836CB">
        <w:rPr>
          <w:highlight w:val="lightGray"/>
        </w:rPr>
        <w:t xml:space="preserve">for the first quarter ending 31 March 2026, representing a </w:t>
      </w:r>
      <w:r w:rsidRPr="006836CB">
        <w:rPr>
          <w:b/>
          <w:color w:val="1E7B34"/>
          <w:highlight w:val="lightGray"/>
        </w:rPr>
        <w:t xml:space="preserve">+21.3% outperformance against the Q1 budget of US$9,403,878 </w:t>
      </w:r>
      <w:r w:rsidRPr="006836CB">
        <w:rPr>
          <w:highlight w:val="lightGray"/>
        </w:rPr>
        <w:t xml:space="preserve">and a remarkable </w:t>
      </w:r>
      <w:r w:rsidRPr="006836CB">
        <w:rPr>
          <w:b/>
          <w:color w:val="1E7B34"/>
          <w:highlight w:val="lightGray"/>
        </w:rPr>
        <w:t xml:space="preserve">+31.9% year-on-year growth </w:t>
      </w:r>
      <w:r w:rsidRPr="006836CB">
        <w:rPr>
          <w:highlight w:val="lightGray"/>
        </w:rPr>
        <w:t>versus the same period last year (SPLY) of US$8,652,227. These results reflect the Group's strengthening commercial momentum, driven by disciplined yield management, targeted market development, and the continued roll-out of the Revenue Generation Program.</w:t>
      </w:r>
    </w:p>
    <w:p w:rsidR="004E6834" w:rsidRPr="009F3EEF" w:rsidRDefault="006836CB">
      <w:pPr>
        <w:spacing w:after="120"/>
        <w:rPr>
          <w:highlight w:val="lightGray"/>
        </w:rPr>
      </w:pPr>
      <w:r w:rsidRPr="009F3EEF">
        <w:rPr>
          <w:highlight w:val="lightGray"/>
        </w:rPr>
        <w:t xml:space="preserve">We achieved a profit before tax of </w:t>
      </w:r>
      <w:r w:rsidRPr="009F3EEF">
        <w:rPr>
          <w:b/>
          <w:color w:val="1E7B34"/>
          <w:highlight w:val="lightGray"/>
        </w:rPr>
        <w:t xml:space="preserve">US$1,523,816 (margin: 13.4%) </w:t>
      </w:r>
      <w:r w:rsidRPr="009F3EEF">
        <w:rPr>
          <w:highlight w:val="lightGray"/>
        </w:rPr>
        <w:t xml:space="preserve">— a transformational turnaround versus the budgeted loss of US$(1,444,487) and the prior-year loss of US$(532,230) for the same period. This represents a net positive swing of </w:t>
      </w:r>
      <w:r w:rsidRPr="009F3EEF">
        <w:rPr>
          <w:b/>
          <w:color w:val="1E7B34"/>
          <w:highlight w:val="lightGray"/>
        </w:rPr>
        <w:t xml:space="preserve">US$2,968,303 above budget </w:t>
      </w:r>
      <w:r w:rsidRPr="009F3EEF">
        <w:rPr>
          <w:highlight w:val="lightGray"/>
        </w:rPr>
        <w:t>and US$2,056,046 above SPLY — a testament to the Group's operational improvements and revenue diversification strategy.</w:t>
      </w:r>
    </w:p>
    <w:p w:rsidR="004E6834" w:rsidRPr="009F3EEF" w:rsidRDefault="006836CB">
      <w:pPr>
        <w:spacing w:after="120"/>
        <w:rPr>
          <w:highlight w:val="lightGray"/>
        </w:rPr>
      </w:pPr>
      <w:r w:rsidRPr="009F3EEF">
        <w:rPr>
          <w:highlight w:val="lightGray"/>
        </w:rPr>
        <w:t xml:space="preserve">The Group's gross profit margin strengthened to </w:t>
      </w:r>
      <w:r w:rsidRPr="009F3EEF">
        <w:rPr>
          <w:b/>
          <w:color w:val="1F3864"/>
          <w:highlight w:val="lightGray"/>
        </w:rPr>
        <w:t xml:space="preserve">72.8% </w:t>
      </w:r>
      <w:r w:rsidRPr="009F3EEF">
        <w:rPr>
          <w:highlight w:val="lightGray"/>
        </w:rPr>
        <w:t xml:space="preserve">from 69.8% in SPLY and 72.5% budgeted, reflecting tighter cost management and improved revenue quality. EBITDA surged to </w:t>
      </w:r>
      <w:r w:rsidRPr="009F3EEF">
        <w:rPr>
          <w:b/>
          <w:color w:val="1E7B34"/>
          <w:highlight w:val="lightGray"/>
        </w:rPr>
        <w:t xml:space="preserve">US$2,521,308 (22.1% margin) </w:t>
      </w:r>
      <w:r w:rsidRPr="009F3EEF">
        <w:rPr>
          <w:highlight w:val="lightGray"/>
        </w:rPr>
        <w:t xml:space="preserve">against a budgeted US$182,675 (1.9%) and SPLY of US$119,404 (1.4%) — a </w:t>
      </w:r>
      <w:r w:rsidRPr="009F3EEF">
        <w:rPr>
          <w:b/>
          <w:color w:val="1E7B34"/>
          <w:highlight w:val="lightGray"/>
        </w:rPr>
        <w:t>13.8× outperformance against budget.</w:t>
      </w:r>
    </w:p>
    <w:p w:rsidR="004E6834" w:rsidRDefault="006836CB">
      <w:pPr>
        <w:spacing w:after="120"/>
      </w:pPr>
      <w:r w:rsidRPr="009F3EEF">
        <w:rPr>
          <w:highlight w:val="lightGray"/>
        </w:rPr>
        <w:t xml:space="preserve">Occupancy for the quarter averaged </w:t>
      </w:r>
      <w:r w:rsidRPr="009F3EEF">
        <w:rPr>
          <w:b/>
          <w:color w:val="1F3864"/>
          <w:highlight w:val="lightGray"/>
        </w:rPr>
        <w:t xml:space="preserve">52% </w:t>
      </w:r>
      <w:r w:rsidRPr="009F3EEF">
        <w:rPr>
          <w:highlight w:val="lightGray"/>
        </w:rPr>
        <w:t xml:space="preserve">against a target of 59% and SPLY of 57%. The quarter showed progressive improvement: 37.4% in January → 52.2% in February → 59.0% in March, with March matching the annual target exactly. Average Daily Rate (ADR) of </w:t>
      </w:r>
      <w:r w:rsidRPr="009F3EEF">
        <w:rPr>
          <w:b/>
          <w:color w:val="1F3864"/>
          <w:highlight w:val="lightGray"/>
        </w:rPr>
        <w:t xml:space="preserve">US$111.53 </w:t>
      </w:r>
      <w:r w:rsidRPr="009F3EEF">
        <w:rPr>
          <w:highlight w:val="lightGray"/>
        </w:rPr>
        <w:t>was just marginally below the US$112 target but comfortably above SPLY of US$109, confirming effective pricing discipline.</w:t>
      </w:r>
    </w:p>
    <w:p w:rsidR="004E6834" w:rsidRDefault="004E6834"/>
    <w:tbl>
      <w:tblPr>
        <w:tblStyle w:val="TableGrid"/>
        <w:tblW w:w="0" w:type="auto"/>
        <w:jc w:val="center"/>
        <w:tblLook w:val="04A0" w:firstRow="1" w:lastRow="0" w:firstColumn="1" w:lastColumn="0" w:noHBand="0" w:noVBand="1"/>
      </w:tblPr>
      <w:tblGrid>
        <w:gridCol w:w="2920"/>
        <w:gridCol w:w="1659"/>
        <w:gridCol w:w="1664"/>
        <w:gridCol w:w="1653"/>
        <w:gridCol w:w="1680"/>
      </w:tblGrid>
      <w:tr w:rsidR="004E6834">
        <w:trPr>
          <w:jc w:val="center"/>
        </w:trPr>
        <w:tc>
          <w:tcPr>
            <w:tcW w:w="3168" w:type="dxa"/>
            <w:shd w:val="clear" w:color="auto" w:fill="1F3864"/>
            <w:vAlign w:val="center"/>
          </w:tcPr>
          <w:p w:rsidR="004E6834" w:rsidRDefault="006836CB">
            <w:pPr>
              <w:jc w:val="center"/>
            </w:pPr>
            <w:r>
              <w:rPr>
                <w:b/>
                <w:color w:val="FFFFFF"/>
                <w:sz w:val="20"/>
              </w:rPr>
              <w:t>KEY METRIC</w:t>
            </w:r>
          </w:p>
        </w:tc>
        <w:tc>
          <w:tcPr>
            <w:tcW w:w="1728" w:type="dxa"/>
            <w:shd w:val="clear" w:color="auto" w:fill="1F3864"/>
            <w:vAlign w:val="center"/>
          </w:tcPr>
          <w:p w:rsidR="004E6834" w:rsidRDefault="006836CB">
            <w:pPr>
              <w:jc w:val="center"/>
            </w:pPr>
            <w:r>
              <w:rPr>
                <w:b/>
                <w:color w:val="FFFFFF"/>
                <w:sz w:val="20"/>
              </w:rPr>
              <w:t>Q1 2026 ACTUAL</w:t>
            </w:r>
          </w:p>
        </w:tc>
        <w:tc>
          <w:tcPr>
            <w:tcW w:w="1728" w:type="dxa"/>
            <w:shd w:val="clear" w:color="auto" w:fill="1F3864"/>
            <w:vAlign w:val="center"/>
          </w:tcPr>
          <w:p w:rsidR="004E6834" w:rsidRDefault="006836CB">
            <w:pPr>
              <w:jc w:val="center"/>
            </w:pPr>
            <w:r>
              <w:rPr>
                <w:b/>
                <w:color w:val="FFFFFF"/>
                <w:sz w:val="20"/>
              </w:rPr>
              <w:t>Q1 2026 BUDGET</w:t>
            </w:r>
          </w:p>
        </w:tc>
        <w:tc>
          <w:tcPr>
            <w:tcW w:w="1728" w:type="dxa"/>
            <w:shd w:val="clear" w:color="auto" w:fill="1F3864"/>
            <w:vAlign w:val="center"/>
          </w:tcPr>
          <w:p w:rsidR="004E6834" w:rsidRDefault="006836CB">
            <w:pPr>
              <w:jc w:val="center"/>
            </w:pPr>
            <w:r>
              <w:rPr>
                <w:b/>
                <w:color w:val="FFFFFF"/>
                <w:sz w:val="20"/>
              </w:rPr>
              <w:t>Q1 2025 (SPLY)</w:t>
            </w:r>
          </w:p>
        </w:tc>
        <w:tc>
          <w:tcPr>
            <w:tcW w:w="1728" w:type="dxa"/>
            <w:shd w:val="clear" w:color="auto" w:fill="1F3864"/>
            <w:vAlign w:val="center"/>
          </w:tcPr>
          <w:p w:rsidR="004E6834" w:rsidRDefault="006836CB">
            <w:pPr>
              <w:jc w:val="center"/>
            </w:pPr>
            <w:r>
              <w:rPr>
                <w:b/>
                <w:color w:val="FFFFFF"/>
                <w:sz w:val="20"/>
              </w:rPr>
              <w:t>VAR vs BUDGET</w:t>
            </w:r>
          </w:p>
        </w:tc>
      </w:tr>
      <w:tr w:rsidR="004E6834">
        <w:trPr>
          <w:jc w:val="center"/>
        </w:trPr>
        <w:tc>
          <w:tcPr>
            <w:tcW w:w="3168" w:type="dxa"/>
            <w:shd w:val="clear" w:color="auto" w:fill="F2F2F2"/>
            <w:vAlign w:val="center"/>
          </w:tcPr>
          <w:p w:rsidR="004E6834" w:rsidRDefault="006836CB">
            <w:r>
              <w:rPr>
                <w:b/>
                <w:sz w:val="20"/>
              </w:rPr>
              <w:t>Total Revenue (US$)</w:t>
            </w:r>
          </w:p>
        </w:tc>
        <w:tc>
          <w:tcPr>
            <w:tcW w:w="1728" w:type="dxa"/>
            <w:shd w:val="clear" w:color="auto" w:fill="F2F2F2"/>
            <w:vAlign w:val="center"/>
          </w:tcPr>
          <w:p w:rsidR="004E6834" w:rsidRDefault="006836CB">
            <w:pPr>
              <w:jc w:val="right"/>
            </w:pPr>
            <w:r>
              <w:rPr>
                <w:sz w:val="20"/>
              </w:rPr>
              <w:t>11,410,909</w:t>
            </w:r>
          </w:p>
        </w:tc>
        <w:tc>
          <w:tcPr>
            <w:tcW w:w="1728" w:type="dxa"/>
            <w:shd w:val="clear" w:color="auto" w:fill="F2F2F2"/>
            <w:vAlign w:val="center"/>
          </w:tcPr>
          <w:p w:rsidR="004E6834" w:rsidRDefault="006836CB">
            <w:pPr>
              <w:jc w:val="right"/>
            </w:pPr>
            <w:r>
              <w:rPr>
                <w:sz w:val="20"/>
              </w:rPr>
              <w:t>9,403,878</w:t>
            </w:r>
          </w:p>
        </w:tc>
        <w:tc>
          <w:tcPr>
            <w:tcW w:w="1728" w:type="dxa"/>
            <w:shd w:val="clear" w:color="auto" w:fill="F2F2F2"/>
            <w:vAlign w:val="center"/>
          </w:tcPr>
          <w:p w:rsidR="004E6834" w:rsidRDefault="006836CB">
            <w:pPr>
              <w:jc w:val="right"/>
            </w:pPr>
            <w:r>
              <w:rPr>
                <w:sz w:val="20"/>
              </w:rPr>
              <w:t>8,652,227</w:t>
            </w:r>
          </w:p>
        </w:tc>
        <w:tc>
          <w:tcPr>
            <w:tcW w:w="1728" w:type="dxa"/>
            <w:shd w:val="clear" w:color="auto" w:fill="F2F2F2"/>
            <w:vAlign w:val="center"/>
          </w:tcPr>
          <w:p w:rsidR="004E6834" w:rsidRDefault="006836CB">
            <w:pPr>
              <w:jc w:val="center"/>
            </w:pPr>
            <w:r>
              <w:rPr>
                <w:b/>
                <w:color w:val="1E7B34"/>
                <w:sz w:val="20"/>
              </w:rPr>
              <w:t>+21.3% ▲</w:t>
            </w:r>
          </w:p>
        </w:tc>
      </w:tr>
      <w:tr w:rsidR="004E6834">
        <w:trPr>
          <w:jc w:val="center"/>
        </w:trPr>
        <w:tc>
          <w:tcPr>
            <w:tcW w:w="3168" w:type="dxa"/>
            <w:shd w:val="clear" w:color="auto" w:fill="FFFFFF"/>
            <w:vAlign w:val="center"/>
          </w:tcPr>
          <w:p w:rsidR="004E6834" w:rsidRDefault="006836CB">
            <w:r>
              <w:rPr>
                <w:b/>
                <w:sz w:val="20"/>
              </w:rPr>
              <w:t>Gross Profit (US$)</w:t>
            </w:r>
          </w:p>
        </w:tc>
        <w:tc>
          <w:tcPr>
            <w:tcW w:w="1728" w:type="dxa"/>
            <w:shd w:val="clear" w:color="auto" w:fill="FFFFFF"/>
            <w:vAlign w:val="center"/>
          </w:tcPr>
          <w:p w:rsidR="004E6834" w:rsidRDefault="006836CB">
            <w:pPr>
              <w:jc w:val="right"/>
            </w:pPr>
            <w:r>
              <w:rPr>
                <w:sz w:val="20"/>
              </w:rPr>
              <w:t>8,309,488</w:t>
            </w:r>
          </w:p>
        </w:tc>
        <w:tc>
          <w:tcPr>
            <w:tcW w:w="1728" w:type="dxa"/>
            <w:shd w:val="clear" w:color="auto" w:fill="FFFFFF"/>
            <w:vAlign w:val="center"/>
          </w:tcPr>
          <w:p w:rsidR="004E6834" w:rsidRDefault="006836CB">
            <w:pPr>
              <w:jc w:val="right"/>
            </w:pPr>
            <w:r>
              <w:rPr>
                <w:sz w:val="20"/>
              </w:rPr>
              <w:t>6,820,614</w:t>
            </w:r>
          </w:p>
        </w:tc>
        <w:tc>
          <w:tcPr>
            <w:tcW w:w="1728" w:type="dxa"/>
            <w:shd w:val="clear" w:color="auto" w:fill="FFFFFF"/>
            <w:vAlign w:val="center"/>
          </w:tcPr>
          <w:p w:rsidR="004E6834" w:rsidRDefault="006836CB">
            <w:pPr>
              <w:jc w:val="right"/>
            </w:pPr>
            <w:r>
              <w:rPr>
                <w:sz w:val="20"/>
              </w:rPr>
              <w:t>6,041,063</w:t>
            </w:r>
          </w:p>
        </w:tc>
        <w:tc>
          <w:tcPr>
            <w:tcW w:w="1728" w:type="dxa"/>
            <w:shd w:val="clear" w:color="auto" w:fill="FFFFFF"/>
            <w:vAlign w:val="center"/>
          </w:tcPr>
          <w:p w:rsidR="004E6834" w:rsidRDefault="006836CB">
            <w:pPr>
              <w:jc w:val="center"/>
            </w:pPr>
            <w:r>
              <w:rPr>
                <w:b/>
                <w:color w:val="1E7B34"/>
                <w:sz w:val="20"/>
              </w:rPr>
              <w:t>+21.8% ▲</w:t>
            </w:r>
          </w:p>
        </w:tc>
      </w:tr>
      <w:tr w:rsidR="004E6834">
        <w:trPr>
          <w:jc w:val="center"/>
        </w:trPr>
        <w:tc>
          <w:tcPr>
            <w:tcW w:w="3168" w:type="dxa"/>
            <w:shd w:val="clear" w:color="auto" w:fill="F2F2F2"/>
            <w:vAlign w:val="center"/>
          </w:tcPr>
          <w:p w:rsidR="004E6834" w:rsidRDefault="006836CB">
            <w:r>
              <w:rPr>
                <w:b/>
                <w:sz w:val="20"/>
              </w:rPr>
              <w:t>Gross Profit Margin</w:t>
            </w:r>
          </w:p>
        </w:tc>
        <w:tc>
          <w:tcPr>
            <w:tcW w:w="1728" w:type="dxa"/>
            <w:shd w:val="clear" w:color="auto" w:fill="F2F2F2"/>
            <w:vAlign w:val="center"/>
          </w:tcPr>
          <w:p w:rsidR="004E6834" w:rsidRDefault="006836CB">
            <w:pPr>
              <w:jc w:val="center"/>
            </w:pPr>
            <w:r>
              <w:rPr>
                <w:sz w:val="20"/>
              </w:rPr>
              <w:t>72.8%</w:t>
            </w:r>
          </w:p>
        </w:tc>
        <w:tc>
          <w:tcPr>
            <w:tcW w:w="1728" w:type="dxa"/>
            <w:shd w:val="clear" w:color="auto" w:fill="F2F2F2"/>
            <w:vAlign w:val="center"/>
          </w:tcPr>
          <w:p w:rsidR="004E6834" w:rsidRDefault="006836CB">
            <w:pPr>
              <w:jc w:val="center"/>
            </w:pPr>
            <w:r>
              <w:rPr>
                <w:sz w:val="20"/>
              </w:rPr>
              <w:t>72.5%</w:t>
            </w:r>
          </w:p>
        </w:tc>
        <w:tc>
          <w:tcPr>
            <w:tcW w:w="1728" w:type="dxa"/>
            <w:shd w:val="clear" w:color="auto" w:fill="F2F2F2"/>
            <w:vAlign w:val="center"/>
          </w:tcPr>
          <w:p w:rsidR="004E6834" w:rsidRDefault="006836CB">
            <w:pPr>
              <w:jc w:val="center"/>
            </w:pPr>
            <w:r>
              <w:rPr>
                <w:sz w:val="20"/>
              </w:rPr>
              <w:t>69.8%</w:t>
            </w:r>
          </w:p>
        </w:tc>
        <w:tc>
          <w:tcPr>
            <w:tcW w:w="1728" w:type="dxa"/>
            <w:shd w:val="clear" w:color="auto" w:fill="F2F2F2"/>
            <w:vAlign w:val="center"/>
          </w:tcPr>
          <w:p w:rsidR="004E6834" w:rsidRDefault="006836CB">
            <w:pPr>
              <w:jc w:val="center"/>
            </w:pPr>
            <w:r>
              <w:rPr>
                <w:b/>
                <w:color w:val="1E7B34"/>
                <w:sz w:val="20"/>
              </w:rPr>
              <w:t>+0.3pp ▲</w:t>
            </w:r>
          </w:p>
        </w:tc>
      </w:tr>
      <w:tr w:rsidR="004E6834">
        <w:trPr>
          <w:jc w:val="center"/>
        </w:trPr>
        <w:tc>
          <w:tcPr>
            <w:tcW w:w="3168" w:type="dxa"/>
            <w:shd w:val="clear" w:color="auto" w:fill="FFFFFF"/>
            <w:vAlign w:val="center"/>
          </w:tcPr>
          <w:p w:rsidR="004E6834" w:rsidRDefault="006836CB">
            <w:r>
              <w:rPr>
                <w:b/>
                <w:sz w:val="20"/>
              </w:rPr>
              <w:t>EBITDA (US$)</w:t>
            </w:r>
          </w:p>
        </w:tc>
        <w:tc>
          <w:tcPr>
            <w:tcW w:w="1728" w:type="dxa"/>
            <w:shd w:val="clear" w:color="auto" w:fill="FFFFFF"/>
            <w:vAlign w:val="center"/>
          </w:tcPr>
          <w:p w:rsidR="004E6834" w:rsidRDefault="006836CB">
            <w:pPr>
              <w:jc w:val="right"/>
            </w:pPr>
            <w:r>
              <w:rPr>
                <w:sz w:val="20"/>
              </w:rPr>
              <w:t>2,521,308</w:t>
            </w:r>
          </w:p>
        </w:tc>
        <w:tc>
          <w:tcPr>
            <w:tcW w:w="1728" w:type="dxa"/>
            <w:shd w:val="clear" w:color="auto" w:fill="FFFFFF"/>
            <w:vAlign w:val="center"/>
          </w:tcPr>
          <w:p w:rsidR="004E6834" w:rsidRDefault="006836CB">
            <w:pPr>
              <w:jc w:val="right"/>
            </w:pPr>
            <w:r>
              <w:rPr>
                <w:sz w:val="20"/>
              </w:rPr>
              <w:t>182,675</w:t>
            </w:r>
          </w:p>
        </w:tc>
        <w:tc>
          <w:tcPr>
            <w:tcW w:w="1728" w:type="dxa"/>
            <w:shd w:val="clear" w:color="auto" w:fill="FFFFFF"/>
            <w:vAlign w:val="center"/>
          </w:tcPr>
          <w:p w:rsidR="004E6834" w:rsidRDefault="006836CB">
            <w:pPr>
              <w:jc w:val="right"/>
            </w:pPr>
            <w:r>
              <w:rPr>
                <w:sz w:val="20"/>
              </w:rPr>
              <w:t>119,404</w:t>
            </w:r>
          </w:p>
        </w:tc>
        <w:tc>
          <w:tcPr>
            <w:tcW w:w="1728" w:type="dxa"/>
            <w:shd w:val="clear" w:color="auto" w:fill="FFFFFF"/>
            <w:vAlign w:val="center"/>
          </w:tcPr>
          <w:p w:rsidR="004E6834" w:rsidRDefault="006836CB">
            <w:pPr>
              <w:jc w:val="center"/>
            </w:pPr>
            <w:r>
              <w:rPr>
                <w:b/>
                <w:color w:val="1E7B34"/>
                <w:sz w:val="20"/>
              </w:rPr>
              <w:t>+1,280% ▲</w:t>
            </w:r>
          </w:p>
        </w:tc>
      </w:tr>
      <w:tr w:rsidR="004E6834">
        <w:trPr>
          <w:jc w:val="center"/>
        </w:trPr>
        <w:tc>
          <w:tcPr>
            <w:tcW w:w="3168" w:type="dxa"/>
            <w:shd w:val="clear" w:color="auto" w:fill="F2F2F2"/>
            <w:vAlign w:val="center"/>
          </w:tcPr>
          <w:p w:rsidR="004E6834" w:rsidRDefault="006836CB">
            <w:r>
              <w:rPr>
                <w:b/>
                <w:sz w:val="20"/>
              </w:rPr>
              <w:t>Profit Before Tax (US$)</w:t>
            </w:r>
          </w:p>
        </w:tc>
        <w:tc>
          <w:tcPr>
            <w:tcW w:w="1728" w:type="dxa"/>
            <w:shd w:val="clear" w:color="auto" w:fill="F2F2F2"/>
            <w:vAlign w:val="center"/>
          </w:tcPr>
          <w:p w:rsidR="004E6834" w:rsidRDefault="006836CB">
            <w:pPr>
              <w:jc w:val="right"/>
            </w:pPr>
            <w:r>
              <w:rPr>
                <w:sz w:val="20"/>
              </w:rPr>
              <w:t>1,523,816</w:t>
            </w:r>
          </w:p>
        </w:tc>
        <w:tc>
          <w:tcPr>
            <w:tcW w:w="1728" w:type="dxa"/>
            <w:shd w:val="clear" w:color="auto" w:fill="F2F2F2"/>
            <w:vAlign w:val="center"/>
          </w:tcPr>
          <w:p w:rsidR="004E6834" w:rsidRDefault="006836CB">
            <w:pPr>
              <w:jc w:val="right"/>
            </w:pPr>
            <w:r>
              <w:rPr>
                <w:color w:val="C00000"/>
                <w:sz w:val="20"/>
              </w:rPr>
              <w:t>(1,444,487)</w:t>
            </w:r>
          </w:p>
        </w:tc>
        <w:tc>
          <w:tcPr>
            <w:tcW w:w="1728" w:type="dxa"/>
            <w:shd w:val="clear" w:color="auto" w:fill="F2F2F2"/>
            <w:vAlign w:val="center"/>
          </w:tcPr>
          <w:p w:rsidR="004E6834" w:rsidRDefault="006836CB">
            <w:pPr>
              <w:jc w:val="right"/>
            </w:pPr>
            <w:r>
              <w:rPr>
                <w:color w:val="C00000"/>
                <w:sz w:val="20"/>
              </w:rPr>
              <w:t>(532,230)</w:t>
            </w:r>
          </w:p>
        </w:tc>
        <w:tc>
          <w:tcPr>
            <w:tcW w:w="1728" w:type="dxa"/>
            <w:shd w:val="clear" w:color="auto" w:fill="F2F2F2"/>
            <w:vAlign w:val="center"/>
          </w:tcPr>
          <w:p w:rsidR="004E6834" w:rsidRDefault="006836CB">
            <w:pPr>
              <w:jc w:val="center"/>
            </w:pPr>
            <w:r>
              <w:rPr>
                <w:b/>
                <w:color w:val="1E7B34"/>
                <w:sz w:val="20"/>
              </w:rPr>
              <w:t>Turnaround ▲</w:t>
            </w:r>
          </w:p>
        </w:tc>
      </w:tr>
      <w:tr w:rsidR="004E6834">
        <w:trPr>
          <w:jc w:val="center"/>
        </w:trPr>
        <w:tc>
          <w:tcPr>
            <w:tcW w:w="3168" w:type="dxa"/>
            <w:shd w:val="clear" w:color="auto" w:fill="FFFFFF"/>
            <w:vAlign w:val="center"/>
          </w:tcPr>
          <w:p w:rsidR="004E6834" w:rsidRDefault="006836CB">
            <w:r>
              <w:rPr>
                <w:b/>
                <w:sz w:val="20"/>
              </w:rPr>
              <w:t>PBT Margin</w:t>
            </w:r>
          </w:p>
        </w:tc>
        <w:tc>
          <w:tcPr>
            <w:tcW w:w="1728" w:type="dxa"/>
            <w:shd w:val="clear" w:color="auto" w:fill="FFFFFF"/>
            <w:vAlign w:val="center"/>
          </w:tcPr>
          <w:p w:rsidR="004E6834" w:rsidRDefault="006836CB">
            <w:pPr>
              <w:jc w:val="center"/>
            </w:pPr>
            <w:r>
              <w:rPr>
                <w:sz w:val="20"/>
              </w:rPr>
              <w:t>13.4%</w:t>
            </w:r>
          </w:p>
        </w:tc>
        <w:tc>
          <w:tcPr>
            <w:tcW w:w="1728" w:type="dxa"/>
            <w:shd w:val="clear" w:color="auto" w:fill="FFFFFF"/>
            <w:vAlign w:val="center"/>
          </w:tcPr>
          <w:p w:rsidR="004E6834" w:rsidRDefault="006836CB">
            <w:pPr>
              <w:jc w:val="center"/>
            </w:pPr>
            <w:r>
              <w:rPr>
                <w:color w:val="C00000"/>
                <w:sz w:val="20"/>
              </w:rPr>
              <w:t>(15.4%)</w:t>
            </w:r>
          </w:p>
        </w:tc>
        <w:tc>
          <w:tcPr>
            <w:tcW w:w="1728" w:type="dxa"/>
            <w:shd w:val="clear" w:color="auto" w:fill="FFFFFF"/>
            <w:vAlign w:val="center"/>
          </w:tcPr>
          <w:p w:rsidR="004E6834" w:rsidRDefault="006836CB">
            <w:pPr>
              <w:jc w:val="center"/>
            </w:pPr>
            <w:r>
              <w:rPr>
                <w:color w:val="C00000"/>
                <w:sz w:val="20"/>
              </w:rPr>
              <w:t>(6.2%)</w:t>
            </w:r>
          </w:p>
        </w:tc>
        <w:tc>
          <w:tcPr>
            <w:tcW w:w="1728" w:type="dxa"/>
            <w:shd w:val="clear" w:color="auto" w:fill="FFFFFF"/>
            <w:vAlign w:val="center"/>
          </w:tcPr>
          <w:p w:rsidR="004E6834" w:rsidRDefault="006836CB">
            <w:pPr>
              <w:jc w:val="center"/>
            </w:pPr>
            <w:r>
              <w:rPr>
                <w:b/>
                <w:color w:val="1E7B34"/>
                <w:sz w:val="20"/>
              </w:rPr>
              <w:t>Turnaround ▲</w:t>
            </w:r>
          </w:p>
        </w:tc>
      </w:tr>
      <w:tr w:rsidR="004E6834">
        <w:trPr>
          <w:jc w:val="center"/>
        </w:trPr>
        <w:tc>
          <w:tcPr>
            <w:tcW w:w="3168" w:type="dxa"/>
            <w:shd w:val="clear" w:color="auto" w:fill="F2F2F2"/>
            <w:vAlign w:val="center"/>
          </w:tcPr>
          <w:p w:rsidR="004E6834" w:rsidRDefault="006836CB">
            <w:r>
              <w:rPr>
                <w:b/>
                <w:sz w:val="20"/>
              </w:rPr>
              <w:t>Occupancy Rate</w:t>
            </w:r>
          </w:p>
        </w:tc>
        <w:tc>
          <w:tcPr>
            <w:tcW w:w="1728" w:type="dxa"/>
            <w:shd w:val="clear" w:color="auto" w:fill="F2F2F2"/>
            <w:vAlign w:val="center"/>
          </w:tcPr>
          <w:p w:rsidR="004E6834" w:rsidRDefault="006836CB">
            <w:pPr>
              <w:jc w:val="center"/>
            </w:pPr>
            <w:r>
              <w:rPr>
                <w:sz w:val="20"/>
              </w:rPr>
              <w:t>52%</w:t>
            </w:r>
          </w:p>
        </w:tc>
        <w:tc>
          <w:tcPr>
            <w:tcW w:w="1728" w:type="dxa"/>
            <w:shd w:val="clear" w:color="auto" w:fill="F2F2F2"/>
            <w:vAlign w:val="center"/>
          </w:tcPr>
          <w:p w:rsidR="004E6834" w:rsidRDefault="006836CB">
            <w:pPr>
              <w:jc w:val="center"/>
            </w:pPr>
            <w:r>
              <w:rPr>
                <w:sz w:val="20"/>
              </w:rPr>
              <w:t>59%</w:t>
            </w:r>
          </w:p>
        </w:tc>
        <w:tc>
          <w:tcPr>
            <w:tcW w:w="1728" w:type="dxa"/>
            <w:shd w:val="clear" w:color="auto" w:fill="F2F2F2"/>
            <w:vAlign w:val="center"/>
          </w:tcPr>
          <w:p w:rsidR="004E6834" w:rsidRDefault="006836CB">
            <w:pPr>
              <w:jc w:val="center"/>
            </w:pPr>
            <w:r>
              <w:rPr>
                <w:sz w:val="20"/>
              </w:rPr>
              <w:t>57%</w:t>
            </w:r>
          </w:p>
        </w:tc>
        <w:tc>
          <w:tcPr>
            <w:tcW w:w="1728" w:type="dxa"/>
            <w:shd w:val="clear" w:color="auto" w:fill="F2F2F2"/>
            <w:vAlign w:val="center"/>
          </w:tcPr>
          <w:p w:rsidR="004E6834" w:rsidRDefault="006836CB">
            <w:pPr>
              <w:jc w:val="center"/>
            </w:pPr>
            <w:r>
              <w:rPr>
                <w:b/>
                <w:color w:val="C00000"/>
                <w:sz w:val="20"/>
              </w:rPr>
              <w:t>−7pp ▼</w:t>
            </w:r>
          </w:p>
        </w:tc>
      </w:tr>
      <w:tr w:rsidR="004E6834">
        <w:trPr>
          <w:jc w:val="center"/>
        </w:trPr>
        <w:tc>
          <w:tcPr>
            <w:tcW w:w="3168" w:type="dxa"/>
            <w:shd w:val="clear" w:color="auto" w:fill="FFFFFF"/>
            <w:vAlign w:val="center"/>
          </w:tcPr>
          <w:p w:rsidR="004E6834" w:rsidRDefault="006836CB">
            <w:r>
              <w:rPr>
                <w:b/>
                <w:sz w:val="20"/>
              </w:rPr>
              <w:t>Avg Daily Rate (ADR)</w:t>
            </w:r>
          </w:p>
        </w:tc>
        <w:tc>
          <w:tcPr>
            <w:tcW w:w="1728" w:type="dxa"/>
            <w:shd w:val="clear" w:color="auto" w:fill="FFFFFF"/>
            <w:vAlign w:val="center"/>
          </w:tcPr>
          <w:p w:rsidR="004E6834" w:rsidRDefault="006836CB">
            <w:pPr>
              <w:jc w:val="center"/>
            </w:pPr>
            <w:r>
              <w:rPr>
                <w:sz w:val="20"/>
              </w:rPr>
              <w:t>US$111.53</w:t>
            </w:r>
          </w:p>
        </w:tc>
        <w:tc>
          <w:tcPr>
            <w:tcW w:w="1728" w:type="dxa"/>
            <w:shd w:val="clear" w:color="auto" w:fill="FFFFFF"/>
            <w:vAlign w:val="center"/>
          </w:tcPr>
          <w:p w:rsidR="004E6834" w:rsidRDefault="006836CB">
            <w:pPr>
              <w:jc w:val="center"/>
            </w:pPr>
            <w:r>
              <w:rPr>
                <w:sz w:val="20"/>
              </w:rPr>
              <w:t>US$112.00</w:t>
            </w:r>
          </w:p>
        </w:tc>
        <w:tc>
          <w:tcPr>
            <w:tcW w:w="1728" w:type="dxa"/>
            <w:shd w:val="clear" w:color="auto" w:fill="FFFFFF"/>
            <w:vAlign w:val="center"/>
          </w:tcPr>
          <w:p w:rsidR="004E6834" w:rsidRDefault="006836CB">
            <w:pPr>
              <w:jc w:val="center"/>
            </w:pPr>
            <w:r>
              <w:rPr>
                <w:sz w:val="20"/>
              </w:rPr>
              <w:t>US$109.00</w:t>
            </w:r>
          </w:p>
        </w:tc>
        <w:tc>
          <w:tcPr>
            <w:tcW w:w="1728" w:type="dxa"/>
            <w:shd w:val="clear" w:color="auto" w:fill="FFFFFF"/>
            <w:vAlign w:val="center"/>
          </w:tcPr>
          <w:p w:rsidR="004E6834" w:rsidRDefault="006836CB">
            <w:pPr>
              <w:jc w:val="center"/>
            </w:pPr>
            <w:r>
              <w:rPr>
                <w:b/>
                <w:color w:val="C00000"/>
                <w:sz w:val="20"/>
              </w:rPr>
              <w:t>−0.4% ▼</w:t>
            </w:r>
          </w:p>
        </w:tc>
      </w:tr>
      <w:tr w:rsidR="004E6834">
        <w:trPr>
          <w:jc w:val="center"/>
        </w:trPr>
        <w:tc>
          <w:tcPr>
            <w:tcW w:w="3168" w:type="dxa"/>
            <w:shd w:val="clear" w:color="auto" w:fill="F2F2F2"/>
            <w:vAlign w:val="center"/>
          </w:tcPr>
          <w:p w:rsidR="004E6834" w:rsidRDefault="006836CB">
            <w:r>
              <w:rPr>
                <w:b/>
                <w:sz w:val="20"/>
              </w:rPr>
              <w:t>RevPAR</w:t>
            </w:r>
          </w:p>
        </w:tc>
        <w:tc>
          <w:tcPr>
            <w:tcW w:w="1728" w:type="dxa"/>
            <w:shd w:val="clear" w:color="auto" w:fill="F2F2F2"/>
            <w:vAlign w:val="center"/>
          </w:tcPr>
          <w:p w:rsidR="004E6834" w:rsidRDefault="006836CB">
            <w:pPr>
              <w:jc w:val="center"/>
            </w:pPr>
            <w:r>
              <w:rPr>
                <w:sz w:val="20"/>
              </w:rPr>
              <w:t>US$49.74</w:t>
            </w:r>
          </w:p>
        </w:tc>
        <w:tc>
          <w:tcPr>
            <w:tcW w:w="1728" w:type="dxa"/>
            <w:shd w:val="clear" w:color="auto" w:fill="F2F2F2"/>
            <w:vAlign w:val="center"/>
          </w:tcPr>
          <w:p w:rsidR="004E6834" w:rsidRDefault="006836CB">
            <w:pPr>
              <w:jc w:val="center"/>
            </w:pPr>
            <w:r>
              <w:rPr>
                <w:sz w:val="20"/>
              </w:rPr>
              <w:t>US$66.08</w:t>
            </w:r>
          </w:p>
        </w:tc>
        <w:tc>
          <w:tcPr>
            <w:tcW w:w="1728" w:type="dxa"/>
            <w:shd w:val="clear" w:color="auto" w:fill="F2F2F2"/>
            <w:vAlign w:val="center"/>
          </w:tcPr>
          <w:p w:rsidR="004E6834" w:rsidRDefault="006836CB">
            <w:pPr>
              <w:jc w:val="center"/>
            </w:pPr>
            <w:r>
              <w:rPr>
                <w:sz w:val="20"/>
              </w:rPr>
              <w:t>US$57.45</w:t>
            </w:r>
          </w:p>
        </w:tc>
        <w:tc>
          <w:tcPr>
            <w:tcW w:w="1728" w:type="dxa"/>
            <w:shd w:val="clear" w:color="auto" w:fill="F2F2F2"/>
            <w:vAlign w:val="center"/>
          </w:tcPr>
          <w:p w:rsidR="004E6834" w:rsidRDefault="006836CB">
            <w:pPr>
              <w:jc w:val="center"/>
            </w:pPr>
            <w:r>
              <w:rPr>
                <w:b/>
                <w:color w:val="C00000"/>
                <w:sz w:val="20"/>
              </w:rPr>
              <w:t>−24.7% ▼</w:t>
            </w:r>
          </w:p>
        </w:tc>
      </w:tr>
    </w:tbl>
    <w:p w:rsidR="004E6834" w:rsidRDefault="006836CB">
      <w:r>
        <w:br w:type="page"/>
      </w:r>
    </w:p>
    <w:p w:rsidR="004E6834" w:rsidRDefault="006836CB">
      <w:pPr>
        <w:pBdr>
          <w:bottom w:val="single" w:sz="12" w:space="1" w:color="2E75B6"/>
        </w:pBdr>
        <w:spacing w:before="360" w:after="120"/>
      </w:pPr>
      <w:r>
        <w:rPr>
          <w:b/>
          <w:color w:val="1F3864"/>
          <w:sz w:val="32"/>
        </w:rPr>
        <w:lastRenderedPageBreak/>
        <w:t>2.  GROUP REVENUE PERFORMANCE</w:t>
      </w:r>
    </w:p>
    <w:p w:rsidR="004E6834" w:rsidRDefault="006836CB">
      <w:pPr>
        <w:spacing w:before="240" w:after="80"/>
      </w:pPr>
      <w:r>
        <w:rPr>
          <w:b/>
          <w:color w:val="2E75B6"/>
          <w:sz w:val="26"/>
        </w:rPr>
        <w:t>2.1  Overall Revenue Outturn</w:t>
      </w:r>
    </w:p>
    <w:p w:rsidR="004E6834" w:rsidRPr="005A7B0B" w:rsidRDefault="006836CB">
      <w:pPr>
        <w:spacing w:after="120"/>
      </w:pPr>
      <w:r>
        <w:t xml:space="preserve">The Group delivered total revenues of </w:t>
      </w:r>
      <w:r>
        <w:rPr>
          <w:b/>
          <w:color w:val="1F3864"/>
        </w:rPr>
        <w:t xml:space="preserve">US$11,410,909 </w:t>
      </w:r>
      <w:r>
        <w:t xml:space="preserve">for Q1 2026, outperforming the budget of US$9,403,878 by </w:t>
      </w:r>
      <w:r>
        <w:rPr>
          <w:b/>
          <w:color w:val="1E7B34"/>
        </w:rPr>
        <w:t xml:space="preserve">US$2,007,031 (+21.3%) </w:t>
      </w:r>
      <w:r>
        <w:t xml:space="preserve">and surpassing the same period of the prior year by </w:t>
      </w:r>
      <w:r>
        <w:rPr>
          <w:b/>
          <w:color w:val="1E7B34"/>
        </w:rPr>
        <w:t xml:space="preserve">US$2,758,682 (+31.9%). </w:t>
      </w:r>
      <w:r w:rsidRPr="00D63B0C">
        <w:rPr>
          <w:highlight w:val="lightGray"/>
        </w:rPr>
        <w:t>This strong outturn was achieved despite seasonal softness in January, confirming that the Group's strategic revenue diversification and yield management initiatives are delivering tangible, measurable results.</w:t>
      </w:r>
      <w:r w:rsidR="00D63B0C">
        <w:t xml:space="preserve"> </w:t>
      </w:r>
      <w:r w:rsidR="00D63B0C" w:rsidRPr="00D63B0C">
        <w:rPr>
          <w:b/>
          <w:color w:val="FF66CC"/>
        </w:rPr>
        <w:t>What initiatives and strategies are those???</w:t>
      </w:r>
      <w:r w:rsidR="006A25B2">
        <w:rPr>
          <w:b/>
          <w:color w:val="FF66CC"/>
        </w:rPr>
        <w:t xml:space="preserve"> Revenue G</w:t>
      </w:r>
      <w:r w:rsidR="009B7816">
        <w:rPr>
          <w:b/>
          <w:color w:val="FF66CC"/>
        </w:rPr>
        <w:t xml:space="preserve">eneration Program, the RSA market, expanded African regional market and new corporate clients. </w:t>
      </w:r>
      <w:r w:rsidR="009B7816" w:rsidRPr="005A7B0B">
        <w:rPr>
          <w:b/>
          <w:color w:val="FF66CC"/>
          <w:u w:val="single"/>
        </w:rPr>
        <w:t>You need to be more specific though</w:t>
      </w:r>
      <w:r w:rsidR="005A7B0B">
        <w:rPr>
          <w:b/>
          <w:color w:val="FF66CC"/>
          <w:u w:val="single"/>
        </w:rPr>
        <w:t xml:space="preserve">. </w:t>
      </w:r>
    </w:p>
    <w:p w:rsidR="004E6834" w:rsidRDefault="006836CB">
      <w:pPr>
        <w:spacing w:after="120"/>
      </w:pPr>
      <w:r>
        <w:t xml:space="preserve">Revenues are denominated in two currencies: USD receipts of </w:t>
      </w:r>
      <w:r>
        <w:rPr>
          <w:b/>
          <w:color w:val="1F3864"/>
        </w:rPr>
        <w:t xml:space="preserve">US$5,244,898 (46% of total) </w:t>
      </w:r>
      <w:r>
        <w:t xml:space="preserve">and ZiG-denominated revenues of </w:t>
      </w:r>
      <w:r>
        <w:rPr>
          <w:b/>
          <w:color w:val="1F3864"/>
        </w:rPr>
        <w:t xml:space="preserve">192,749,807 ZiG </w:t>
      </w:r>
      <w:r>
        <w:t xml:space="preserve">which, when converted at the prevailing exchange rate of 30.69 ZiG/USD, equate to approximately </w:t>
      </w:r>
      <w:r>
        <w:rPr>
          <w:b/>
          <w:color w:val="1F3864"/>
        </w:rPr>
        <w:t xml:space="preserve">US$6,166,011 (54% of total). </w:t>
      </w:r>
      <w:r>
        <w:t>The USD component reflects international business, direct bookings from foreign tour operators, and SADC-affiliated clients, while the ZiG component captures domestic corporate, government and institutional business.</w:t>
      </w:r>
    </w:p>
    <w:p w:rsidR="004E6834" w:rsidRDefault="006836CB">
      <w:pPr>
        <w:spacing w:after="120"/>
      </w:pPr>
      <w:r w:rsidRPr="00F8464A">
        <w:rPr>
          <w:highlight w:val="lightGray"/>
        </w:rPr>
        <w:t xml:space="preserve">The Group's annual revenue target for 2026 is </w:t>
      </w:r>
      <w:r w:rsidRPr="00F8464A">
        <w:rPr>
          <w:b/>
          <w:color w:val="1F3864"/>
          <w:highlight w:val="lightGray"/>
        </w:rPr>
        <w:t xml:space="preserve">US$56,808,914. </w:t>
      </w:r>
      <w:r w:rsidRPr="00F8464A">
        <w:rPr>
          <w:highlight w:val="lightGray"/>
        </w:rPr>
        <w:t xml:space="preserve">Having delivered US$11,410,909 in Q1 alone — representing </w:t>
      </w:r>
      <w:r w:rsidRPr="00F8464A">
        <w:rPr>
          <w:b/>
          <w:color w:val="1E7B34"/>
          <w:highlight w:val="lightGray"/>
        </w:rPr>
        <w:t xml:space="preserve">20.1% of the full-year target </w:t>
      </w:r>
      <w:r w:rsidRPr="00F8464A">
        <w:rPr>
          <w:highlight w:val="lightGray"/>
        </w:rPr>
        <w:t>in just three months — the Group is well-positioned to meet and potentially surpass its annual objectives</w:t>
      </w:r>
      <w:r>
        <w:t>.</w:t>
      </w:r>
      <w:r w:rsidR="00F8464A">
        <w:t xml:space="preserve"> </w:t>
      </w:r>
    </w:p>
    <w:p w:rsidR="004E6834" w:rsidRDefault="006836CB">
      <w:pPr>
        <w:spacing w:before="240" w:after="80"/>
      </w:pPr>
      <w:proofErr w:type="gramStart"/>
      <w:r>
        <w:rPr>
          <w:b/>
          <w:color w:val="2E75B6"/>
          <w:sz w:val="26"/>
        </w:rPr>
        <w:t>2.2  Monthly</w:t>
      </w:r>
      <w:proofErr w:type="gramEnd"/>
      <w:r>
        <w:rPr>
          <w:b/>
          <w:color w:val="2E75B6"/>
          <w:sz w:val="26"/>
        </w:rPr>
        <w:t xml:space="preserve"> Revenue Progression</w:t>
      </w:r>
      <w:r w:rsidR="00F8464A">
        <w:rPr>
          <w:b/>
          <w:color w:val="2E75B6"/>
          <w:sz w:val="26"/>
        </w:rPr>
        <w:t xml:space="preserve"> </w:t>
      </w:r>
    </w:p>
    <w:p w:rsidR="004E6834" w:rsidRDefault="006836CB">
      <w:pPr>
        <w:spacing w:after="120"/>
      </w:pPr>
      <w:r>
        <w:t>The quarter demonstrated a healthy and progressive upward trend in monthly revenues:</w:t>
      </w:r>
    </w:p>
    <w:tbl>
      <w:tblPr>
        <w:tblStyle w:val="TableGrid"/>
        <w:tblW w:w="0" w:type="auto"/>
        <w:jc w:val="center"/>
        <w:tblLook w:val="04A0" w:firstRow="1" w:lastRow="0" w:firstColumn="1" w:lastColumn="0" w:noHBand="0" w:noVBand="1"/>
      </w:tblPr>
      <w:tblGrid>
        <w:gridCol w:w="1916"/>
        <w:gridCol w:w="1931"/>
        <w:gridCol w:w="2542"/>
        <w:gridCol w:w="1565"/>
        <w:gridCol w:w="1622"/>
      </w:tblGrid>
      <w:tr w:rsidR="004E6834">
        <w:trPr>
          <w:jc w:val="center"/>
        </w:trPr>
        <w:tc>
          <w:tcPr>
            <w:tcW w:w="2160" w:type="dxa"/>
            <w:shd w:val="clear" w:color="auto" w:fill="1F3864"/>
            <w:vAlign w:val="center"/>
          </w:tcPr>
          <w:p w:rsidR="004E6834" w:rsidRDefault="006836CB">
            <w:pPr>
              <w:jc w:val="center"/>
            </w:pPr>
            <w:r>
              <w:rPr>
                <w:b/>
                <w:color w:val="FFFFFF"/>
                <w:sz w:val="20"/>
              </w:rPr>
              <w:t>MONTH</w:t>
            </w:r>
          </w:p>
        </w:tc>
        <w:tc>
          <w:tcPr>
            <w:tcW w:w="2160" w:type="dxa"/>
            <w:shd w:val="clear" w:color="auto" w:fill="1F3864"/>
            <w:vAlign w:val="center"/>
          </w:tcPr>
          <w:p w:rsidR="004E6834" w:rsidRDefault="006836CB">
            <w:pPr>
              <w:jc w:val="center"/>
            </w:pPr>
            <w:r>
              <w:rPr>
                <w:b/>
                <w:color w:val="FFFFFF"/>
                <w:sz w:val="20"/>
              </w:rPr>
              <w:t>USD REVENUE (US$)</w:t>
            </w:r>
          </w:p>
        </w:tc>
        <w:tc>
          <w:tcPr>
            <w:tcW w:w="2880" w:type="dxa"/>
            <w:shd w:val="clear" w:color="auto" w:fill="1F3864"/>
            <w:vAlign w:val="center"/>
          </w:tcPr>
          <w:p w:rsidR="004E6834" w:rsidRDefault="006836CB">
            <w:pPr>
              <w:jc w:val="center"/>
            </w:pPr>
            <w:r>
              <w:rPr>
                <w:b/>
                <w:color w:val="FFFFFF"/>
                <w:sz w:val="20"/>
              </w:rPr>
              <w:t>ZiG REVENUE</w:t>
            </w:r>
          </w:p>
        </w:tc>
        <w:tc>
          <w:tcPr>
            <w:tcW w:w="1728" w:type="dxa"/>
            <w:shd w:val="clear" w:color="auto" w:fill="1F3864"/>
            <w:vAlign w:val="center"/>
          </w:tcPr>
          <w:p w:rsidR="004E6834" w:rsidRDefault="006836CB">
            <w:pPr>
              <w:jc w:val="center"/>
            </w:pPr>
            <w:r>
              <w:rPr>
                <w:b/>
                <w:color w:val="FFFFFF"/>
                <w:sz w:val="20"/>
              </w:rPr>
              <w:t>ZiG/USD RATE</w:t>
            </w:r>
          </w:p>
        </w:tc>
        <w:tc>
          <w:tcPr>
            <w:tcW w:w="1728" w:type="dxa"/>
            <w:shd w:val="clear" w:color="auto" w:fill="1F3864"/>
            <w:vAlign w:val="center"/>
          </w:tcPr>
          <w:p w:rsidR="004E6834" w:rsidRDefault="006836CB">
            <w:pPr>
              <w:jc w:val="center"/>
            </w:pPr>
            <w:r>
              <w:rPr>
                <w:b/>
                <w:color w:val="FFFFFF"/>
                <w:sz w:val="20"/>
              </w:rPr>
              <w:t>TOTAL (US$)</w:t>
            </w:r>
          </w:p>
        </w:tc>
      </w:tr>
      <w:tr w:rsidR="004E6834">
        <w:trPr>
          <w:jc w:val="center"/>
        </w:trPr>
        <w:tc>
          <w:tcPr>
            <w:tcW w:w="2160" w:type="dxa"/>
            <w:shd w:val="clear" w:color="auto" w:fill="F2F2F2"/>
            <w:vAlign w:val="center"/>
          </w:tcPr>
          <w:p w:rsidR="004E6834" w:rsidRPr="00682782" w:rsidRDefault="006836CB">
            <w:pPr>
              <w:rPr>
                <w:highlight w:val="lightGray"/>
              </w:rPr>
            </w:pPr>
            <w:r w:rsidRPr="00682782">
              <w:rPr>
                <w:b/>
                <w:sz w:val="20"/>
                <w:highlight w:val="lightGray"/>
              </w:rPr>
              <w:t>January 2026</w:t>
            </w:r>
          </w:p>
        </w:tc>
        <w:tc>
          <w:tcPr>
            <w:tcW w:w="2160" w:type="dxa"/>
            <w:shd w:val="clear" w:color="auto" w:fill="F2F2F2"/>
            <w:vAlign w:val="center"/>
          </w:tcPr>
          <w:p w:rsidR="004E6834" w:rsidRPr="00682782" w:rsidRDefault="006836CB">
            <w:pPr>
              <w:jc w:val="right"/>
              <w:rPr>
                <w:highlight w:val="lightGray"/>
              </w:rPr>
            </w:pPr>
            <w:r w:rsidRPr="00682782">
              <w:rPr>
                <w:sz w:val="20"/>
                <w:highlight w:val="lightGray"/>
              </w:rPr>
              <w:t>1,549,089</w:t>
            </w:r>
          </w:p>
        </w:tc>
        <w:tc>
          <w:tcPr>
            <w:tcW w:w="2880" w:type="dxa"/>
            <w:shd w:val="clear" w:color="auto" w:fill="F2F2F2"/>
            <w:vAlign w:val="center"/>
          </w:tcPr>
          <w:p w:rsidR="004E6834" w:rsidRPr="00682782" w:rsidRDefault="006836CB">
            <w:pPr>
              <w:jc w:val="right"/>
              <w:rPr>
                <w:highlight w:val="lightGray"/>
              </w:rPr>
            </w:pPr>
            <w:r w:rsidRPr="00682782">
              <w:rPr>
                <w:sz w:val="20"/>
                <w:highlight w:val="lightGray"/>
              </w:rPr>
              <w:t>43,668,622 ZiG</w:t>
            </w:r>
          </w:p>
        </w:tc>
        <w:tc>
          <w:tcPr>
            <w:tcW w:w="1728" w:type="dxa"/>
            <w:shd w:val="clear" w:color="auto" w:fill="F2F2F2"/>
            <w:vAlign w:val="center"/>
          </w:tcPr>
          <w:p w:rsidR="004E6834" w:rsidRPr="00682782" w:rsidRDefault="006836CB">
            <w:pPr>
              <w:jc w:val="center"/>
              <w:rPr>
                <w:highlight w:val="lightGray"/>
              </w:rPr>
            </w:pPr>
            <w:r w:rsidRPr="00682782">
              <w:rPr>
                <w:sz w:val="20"/>
                <w:highlight w:val="lightGray"/>
              </w:rPr>
              <w:t>30.69</w:t>
            </w:r>
          </w:p>
        </w:tc>
        <w:tc>
          <w:tcPr>
            <w:tcW w:w="1728" w:type="dxa"/>
            <w:shd w:val="clear" w:color="auto" w:fill="F2F2F2"/>
            <w:vAlign w:val="center"/>
          </w:tcPr>
          <w:p w:rsidR="004E6834" w:rsidRPr="00682782" w:rsidRDefault="006836CB">
            <w:pPr>
              <w:jc w:val="right"/>
              <w:rPr>
                <w:highlight w:val="lightGray"/>
              </w:rPr>
            </w:pPr>
            <w:r w:rsidRPr="00682782">
              <w:rPr>
                <w:sz w:val="20"/>
                <w:highlight w:val="lightGray"/>
              </w:rPr>
              <w:t>~2,971,983</w:t>
            </w:r>
          </w:p>
        </w:tc>
      </w:tr>
      <w:tr w:rsidR="004E6834">
        <w:trPr>
          <w:jc w:val="center"/>
        </w:trPr>
        <w:tc>
          <w:tcPr>
            <w:tcW w:w="2160" w:type="dxa"/>
            <w:shd w:val="clear" w:color="auto" w:fill="FFFFFF"/>
            <w:vAlign w:val="center"/>
          </w:tcPr>
          <w:p w:rsidR="004E6834" w:rsidRPr="00682782" w:rsidRDefault="006836CB">
            <w:pPr>
              <w:rPr>
                <w:highlight w:val="lightGray"/>
              </w:rPr>
            </w:pPr>
            <w:r w:rsidRPr="00682782">
              <w:rPr>
                <w:b/>
                <w:sz w:val="20"/>
                <w:highlight w:val="lightGray"/>
              </w:rPr>
              <w:t>February 2026</w:t>
            </w:r>
          </w:p>
        </w:tc>
        <w:tc>
          <w:tcPr>
            <w:tcW w:w="2160" w:type="dxa"/>
            <w:shd w:val="clear" w:color="auto" w:fill="FFFFFF"/>
            <w:vAlign w:val="center"/>
          </w:tcPr>
          <w:p w:rsidR="004E6834" w:rsidRPr="00682782" w:rsidRDefault="006836CB">
            <w:pPr>
              <w:jc w:val="right"/>
              <w:rPr>
                <w:highlight w:val="lightGray"/>
              </w:rPr>
            </w:pPr>
            <w:r w:rsidRPr="00682782">
              <w:rPr>
                <w:sz w:val="20"/>
                <w:highlight w:val="lightGray"/>
              </w:rPr>
              <w:t>1,790,638</w:t>
            </w:r>
          </w:p>
        </w:tc>
        <w:tc>
          <w:tcPr>
            <w:tcW w:w="2880" w:type="dxa"/>
            <w:shd w:val="clear" w:color="auto" w:fill="FFFFFF"/>
            <w:vAlign w:val="center"/>
          </w:tcPr>
          <w:p w:rsidR="004E6834" w:rsidRPr="00682782" w:rsidRDefault="006836CB">
            <w:pPr>
              <w:jc w:val="right"/>
              <w:rPr>
                <w:highlight w:val="lightGray"/>
              </w:rPr>
            </w:pPr>
            <w:r w:rsidRPr="00682782">
              <w:rPr>
                <w:sz w:val="20"/>
                <w:highlight w:val="lightGray"/>
              </w:rPr>
              <w:t>56,189,373 ZiG</w:t>
            </w:r>
          </w:p>
        </w:tc>
        <w:tc>
          <w:tcPr>
            <w:tcW w:w="1728" w:type="dxa"/>
            <w:shd w:val="clear" w:color="auto" w:fill="FFFFFF"/>
            <w:vAlign w:val="center"/>
          </w:tcPr>
          <w:p w:rsidR="004E6834" w:rsidRPr="00682782" w:rsidRDefault="006836CB">
            <w:pPr>
              <w:jc w:val="center"/>
              <w:rPr>
                <w:highlight w:val="lightGray"/>
              </w:rPr>
            </w:pPr>
            <w:r w:rsidRPr="00682782">
              <w:rPr>
                <w:sz w:val="20"/>
                <w:highlight w:val="lightGray"/>
              </w:rPr>
              <w:t>30.69</w:t>
            </w:r>
          </w:p>
        </w:tc>
        <w:tc>
          <w:tcPr>
            <w:tcW w:w="1728" w:type="dxa"/>
            <w:shd w:val="clear" w:color="auto" w:fill="FFFFFF"/>
            <w:vAlign w:val="center"/>
          </w:tcPr>
          <w:p w:rsidR="004E6834" w:rsidRPr="00682782" w:rsidRDefault="006836CB">
            <w:pPr>
              <w:jc w:val="right"/>
              <w:rPr>
                <w:highlight w:val="lightGray"/>
              </w:rPr>
            </w:pPr>
            <w:r w:rsidRPr="00682782">
              <w:rPr>
                <w:sz w:val="20"/>
                <w:highlight w:val="lightGray"/>
              </w:rPr>
              <w:t>~3,621,507</w:t>
            </w:r>
          </w:p>
        </w:tc>
      </w:tr>
      <w:tr w:rsidR="004E6834">
        <w:trPr>
          <w:jc w:val="center"/>
        </w:trPr>
        <w:tc>
          <w:tcPr>
            <w:tcW w:w="2160" w:type="dxa"/>
            <w:shd w:val="clear" w:color="auto" w:fill="F2F2F2"/>
            <w:vAlign w:val="center"/>
          </w:tcPr>
          <w:p w:rsidR="004E6834" w:rsidRPr="00682782" w:rsidRDefault="006836CB">
            <w:pPr>
              <w:rPr>
                <w:highlight w:val="lightGray"/>
              </w:rPr>
            </w:pPr>
            <w:r w:rsidRPr="00682782">
              <w:rPr>
                <w:b/>
                <w:sz w:val="20"/>
                <w:highlight w:val="lightGray"/>
              </w:rPr>
              <w:t>March 2026</w:t>
            </w:r>
          </w:p>
        </w:tc>
        <w:tc>
          <w:tcPr>
            <w:tcW w:w="2160" w:type="dxa"/>
            <w:shd w:val="clear" w:color="auto" w:fill="F2F2F2"/>
            <w:vAlign w:val="center"/>
          </w:tcPr>
          <w:p w:rsidR="004E6834" w:rsidRPr="00682782" w:rsidRDefault="006836CB">
            <w:pPr>
              <w:jc w:val="right"/>
              <w:rPr>
                <w:highlight w:val="lightGray"/>
              </w:rPr>
            </w:pPr>
            <w:r w:rsidRPr="00682782">
              <w:rPr>
                <w:sz w:val="20"/>
                <w:highlight w:val="lightGray"/>
              </w:rPr>
              <w:t>1,905,171</w:t>
            </w:r>
          </w:p>
        </w:tc>
        <w:tc>
          <w:tcPr>
            <w:tcW w:w="2880" w:type="dxa"/>
            <w:shd w:val="clear" w:color="auto" w:fill="F2F2F2"/>
            <w:vAlign w:val="center"/>
          </w:tcPr>
          <w:p w:rsidR="004E6834" w:rsidRPr="00682782" w:rsidRDefault="006836CB">
            <w:pPr>
              <w:jc w:val="right"/>
              <w:rPr>
                <w:highlight w:val="lightGray"/>
              </w:rPr>
            </w:pPr>
            <w:r w:rsidRPr="00682782">
              <w:rPr>
                <w:sz w:val="20"/>
                <w:highlight w:val="lightGray"/>
              </w:rPr>
              <w:t>92,891,812 ZiG</w:t>
            </w:r>
          </w:p>
        </w:tc>
        <w:tc>
          <w:tcPr>
            <w:tcW w:w="1728" w:type="dxa"/>
            <w:shd w:val="clear" w:color="auto" w:fill="F2F2F2"/>
            <w:vAlign w:val="center"/>
          </w:tcPr>
          <w:p w:rsidR="004E6834" w:rsidRPr="00682782" w:rsidRDefault="006836CB">
            <w:pPr>
              <w:jc w:val="center"/>
              <w:rPr>
                <w:highlight w:val="lightGray"/>
              </w:rPr>
            </w:pPr>
            <w:r w:rsidRPr="00682782">
              <w:rPr>
                <w:sz w:val="20"/>
                <w:highlight w:val="lightGray"/>
              </w:rPr>
              <w:t>30.69</w:t>
            </w:r>
          </w:p>
        </w:tc>
        <w:tc>
          <w:tcPr>
            <w:tcW w:w="1728" w:type="dxa"/>
            <w:shd w:val="clear" w:color="auto" w:fill="F2F2F2"/>
            <w:vAlign w:val="center"/>
          </w:tcPr>
          <w:p w:rsidR="004E6834" w:rsidRPr="00682782" w:rsidRDefault="006836CB">
            <w:pPr>
              <w:jc w:val="right"/>
              <w:rPr>
                <w:highlight w:val="lightGray"/>
              </w:rPr>
            </w:pPr>
            <w:r w:rsidRPr="00682782">
              <w:rPr>
                <w:sz w:val="20"/>
                <w:highlight w:val="lightGray"/>
              </w:rPr>
              <w:t>~4,817,416</w:t>
            </w:r>
          </w:p>
        </w:tc>
      </w:tr>
      <w:tr w:rsidR="004E6834">
        <w:trPr>
          <w:jc w:val="center"/>
        </w:trPr>
        <w:tc>
          <w:tcPr>
            <w:tcW w:w="2160" w:type="dxa"/>
            <w:shd w:val="clear" w:color="auto" w:fill="1F3864"/>
            <w:vAlign w:val="center"/>
          </w:tcPr>
          <w:p w:rsidR="004E6834" w:rsidRDefault="006836CB">
            <w:r>
              <w:rPr>
                <w:b/>
                <w:color w:val="FFFFFF"/>
                <w:sz w:val="20"/>
              </w:rPr>
              <w:t>YTD TOTAL</w:t>
            </w:r>
          </w:p>
        </w:tc>
        <w:tc>
          <w:tcPr>
            <w:tcW w:w="2160" w:type="dxa"/>
            <w:shd w:val="clear" w:color="auto" w:fill="1F3864"/>
            <w:vAlign w:val="center"/>
          </w:tcPr>
          <w:p w:rsidR="004E6834" w:rsidRDefault="006836CB">
            <w:pPr>
              <w:jc w:val="right"/>
            </w:pPr>
            <w:r>
              <w:rPr>
                <w:b/>
                <w:color w:val="FFFFFF"/>
                <w:sz w:val="20"/>
              </w:rPr>
              <w:t>5,244,898</w:t>
            </w:r>
          </w:p>
        </w:tc>
        <w:tc>
          <w:tcPr>
            <w:tcW w:w="2880" w:type="dxa"/>
            <w:shd w:val="clear" w:color="auto" w:fill="1F3864"/>
            <w:vAlign w:val="center"/>
          </w:tcPr>
          <w:p w:rsidR="004E6834" w:rsidRDefault="006836CB">
            <w:pPr>
              <w:jc w:val="right"/>
            </w:pPr>
            <w:r>
              <w:rPr>
                <w:b/>
                <w:color w:val="FFFFFF"/>
                <w:sz w:val="20"/>
              </w:rPr>
              <w:t>192,749,807 ZiG</w:t>
            </w:r>
          </w:p>
        </w:tc>
        <w:tc>
          <w:tcPr>
            <w:tcW w:w="1728" w:type="dxa"/>
            <w:shd w:val="clear" w:color="auto" w:fill="1F3864"/>
            <w:vAlign w:val="center"/>
          </w:tcPr>
          <w:p w:rsidR="004E6834" w:rsidRDefault="006836CB">
            <w:pPr>
              <w:jc w:val="center"/>
            </w:pPr>
            <w:r>
              <w:rPr>
                <w:b/>
                <w:color w:val="FFFFFF"/>
                <w:sz w:val="20"/>
              </w:rPr>
              <w:t>30.69 avg</w:t>
            </w:r>
          </w:p>
        </w:tc>
        <w:tc>
          <w:tcPr>
            <w:tcW w:w="1728" w:type="dxa"/>
            <w:shd w:val="clear" w:color="auto" w:fill="1F3864"/>
            <w:vAlign w:val="center"/>
          </w:tcPr>
          <w:p w:rsidR="004E6834" w:rsidRDefault="006836CB">
            <w:pPr>
              <w:jc w:val="right"/>
            </w:pPr>
            <w:r>
              <w:rPr>
                <w:b/>
                <w:color w:val="FFFFFF"/>
                <w:sz w:val="20"/>
              </w:rPr>
              <w:t>11,410,909</w:t>
            </w:r>
          </w:p>
        </w:tc>
      </w:tr>
    </w:tbl>
    <w:p w:rsidR="004E6834" w:rsidRDefault="004E6834"/>
    <w:p w:rsidR="004E6834" w:rsidRDefault="006836CB">
      <w:pPr>
        <w:spacing w:after="120"/>
      </w:pPr>
      <w:r>
        <w:t xml:space="preserve">We achieved the strongest monthly performance in March 2026 — generating USD revenue of US$1,905,171 and ZiG revenues of 92,891,812 ZiG — </w:t>
      </w:r>
      <w:r w:rsidRPr="00F334C7">
        <w:rPr>
          <w:highlight w:val="lightGray"/>
        </w:rPr>
        <w:t xml:space="preserve">because of the acceleration in institutional and corporate bookings, improving occupancy levels reaching 59%, and the seasonal uptick in conference and MICE business. Month-on-month USD revenue growth from January to March represents a </w:t>
      </w:r>
      <w:r w:rsidRPr="00F334C7">
        <w:rPr>
          <w:b/>
          <w:color w:val="1E7B34"/>
          <w:highlight w:val="lightGray"/>
        </w:rPr>
        <w:t xml:space="preserve">+23.0% ramp-up within the quarter, </w:t>
      </w:r>
      <w:r w:rsidRPr="00F334C7">
        <w:rPr>
          <w:highlight w:val="lightGray"/>
        </w:rPr>
        <w:t>reflecting successful commercialisation efforts across all properties.</w:t>
      </w:r>
    </w:p>
    <w:p w:rsidR="004E6834" w:rsidRDefault="006836CB">
      <w:pPr>
        <w:spacing w:before="240" w:after="80"/>
      </w:pPr>
      <w:r>
        <w:rPr>
          <w:b/>
          <w:color w:val="2E75B6"/>
          <w:sz w:val="26"/>
        </w:rPr>
        <w:t>2.3  Revenue Mix: USD vs. ZiG</w:t>
      </w:r>
    </w:p>
    <w:p w:rsidR="004E6834" w:rsidRDefault="006836CB">
      <w:pPr>
        <w:spacing w:after="120"/>
      </w:pPr>
      <w:r>
        <w:t>The Group generated 46% of Q1 revenues in USD and 54% in ZiG. Maintaining and growing the USD revenue base remains a strategic priority, as hard-currency receipts underpin the Group's capacity to service foreign-currency obligations and fund capital improvements. The ZiG exchange rate held steady at 30.69 ZiG/USD throughout Q1 2026, providing currency conversion predictability.</w:t>
      </w:r>
    </w:p>
    <w:p w:rsidR="004E6834" w:rsidRDefault="006836CB">
      <w:r>
        <w:br w:type="page"/>
      </w:r>
    </w:p>
    <w:p w:rsidR="004E6834" w:rsidRDefault="006836CB">
      <w:pPr>
        <w:pBdr>
          <w:bottom w:val="single" w:sz="12" w:space="1" w:color="2E75B6"/>
        </w:pBdr>
        <w:spacing w:before="360" w:after="120"/>
      </w:pPr>
      <w:r>
        <w:rPr>
          <w:b/>
          <w:color w:val="1F3864"/>
          <w:sz w:val="32"/>
        </w:rPr>
        <w:lastRenderedPageBreak/>
        <w:t>3.  GROSS PROFIT AND COST OF SALES</w:t>
      </w:r>
    </w:p>
    <w:p w:rsidR="004E6834" w:rsidRDefault="006836CB">
      <w:pPr>
        <w:spacing w:after="120"/>
      </w:pPr>
      <w:r>
        <w:t xml:space="preserve">The Group recorded a gross profit of </w:t>
      </w:r>
      <w:r>
        <w:rPr>
          <w:b/>
          <w:color w:val="1F3864"/>
        </w:rPr>
        <w:t xml:space="preserve">US$8,309,488 </w:t>
      </w:r>
      <w:r>
        <w:t xml:space="preserve">representing a gross profit margin of </w:t>
      </w:r>
      <w:r>
        <w:rPr>
          <w:b/>
          <w:color w:val="1F3864"/>
        </w:rPr>
        <w:t xml:space="preserve">72.8% </w:t>
      </w:r>
      <w:r>
        <w:t xml:space="preserve">— exceeding the budgeted margin of 72.5% and SPLY of 69.8%. </w:t>
      </w:r>
      <w:r w:rsidRPr="009D6B27">
        <w:rPr>
          <w:highlight w:val="lightGray"/>
        </w:rPr>
        <w:t>This 3.0-percentage-point margin improvement over SPLY reflects disciplined procurement, improved food and beverage yield, and tighter cost-of-sales management across all Group properties.</w:t>
      </w:r>
    </w:p>
    <w:p w:rsidR="004E6834" w:rsidRDefault="006836CB">
      <w:pPr>
        <w:spacing w:after="120"/>
      </w:pPr>
      <w:r>
        <w:t xml:space="preserve">Cost of sales was </w:t>
      </w:r>
      <w:r>
        <w:rPr>
          <w:b/>
          <w:color w:val="1F3864"/>
        </w:rPr>
        <w:t xml:space="preserve">US$(3,101,421) </w:t>
      </w:r>
      <w:r>
        <w:t xml:space="preserve">against a budget of US$(2,583,264) and SPLY of US$(2,611,164). </w:t>
      </w:r>
      <w:r w:rsidRPr="00F32C32">
        <w:rPr>
          <w:highlight w:val="lightGray"/>
        </w:rPr>
        <w:t>While costs grew in absolute terms in line with the higher revenue base, the Group grew revenue (+21.3%) at a faster pace than costs (+20.1%), resulting in the margin improvement. Our top contributor to gross margin was the strong revenue mix from higher-yielding segments — international tour groups, conference/MICE business, and direct corporate accounts with limited discounting.</w:t>
      </w:r>
    </w:p>
    <w:tbl>
      <w:tblPr>
        <w:tblStyle w:val="TableGrid"/>
        <w:tblW w:w="0" w:type="auto"/>
        <w:jc w:val="center"/>
        <w:tblLook w:val="04A0" w:firstRow="1" w:lastRow="0" w:firstColumn="1" w:lastColumn="0" w:noHBand="0" w:noVBand="1"/>
      </w:tblPr>
      <w:tblGrid>
        <w:gridCol w:w="2487"/>
        <w:gridCol w:w="1865"/>
        <w:gridCol w:w="1864"/>
        <w:gridCol w:w="1864"/>
        <w:gridCol w:w="1496"/>
      </w:tblGrid>
      <w:tr w:rsidR="004E6834">
        <w:trPr>
          <w:jc w:val="center"/>
        </w:trPr>
        <w:tc>
          <w:tcPr>
            <w:tcW w:w="3168" w:type="dxa"/>
            <w:shd w:val="clear" w:color="auto" w:fill="1F3864"/>
            <w:vAlign w:val="center"/>
          </w:tcPr>
          <w:p w:rsidR="004E6834" w:rsidRDefault="006836CB">
            <w:pPr>
              <w:jc w:val="center"/>
            </w:pPr>
            <w:r>
              <w:rPr>
                <w:b/>
                <w:color w:val="FFFFFF"/>
                <w:sz w:val="20"/>
              </w:rPr>
              <w:t>ITEM</w:t>
            </w:r>
          </w:p>
        </w:tc>
        <w:tc>
          <w:tcPr>
            <w:tcW w:w="2160" w:type="dxa"/>
            <w:shd w:val="clear" w:color="auto" w:fill="1F3864"/>
            <w:vAlign w:val="center"/>
          </w:tcPr>
          <w:p w:rsidR="004E6834" w:rsidRDefault="006836CB">
            <w:pPr>
              <w:jc w:val="center"/>
            </w:pPr>
            <w:r>
              <w:rPr>
                <w:b/>
                <w:color w:val="FFFFFF"/>
                <w:sz w:val="20"/>
              </w:rPr>
              <w:t>ACTUAL 2026 (US$)</w:t>
            </w:r>
          </w:p>
        </w:tc>
        <w:tc>
          <w:tcPr>
            <w:tcW w:w="2160" w:type="dxa"/>
            <w:shd w:val="clear" w:color="auto" w:fill="1F3864"/>
            <w:vAlign w:val="center"/>
          </w:tcPr>
          <w:p w:rsidR="004E6834" w:rsidRDefault="006836CB">
            <w:pPr>
              <w:jc w:val="center"/>
            </w:pPr>
            <w:r>
              <w:rPr>
                <w:b/>
                <w:color w:val="FFFFFF"/>
                <w:sz w:val="20"/>
              </w:rPr>
              <w:t>BUDGET (US$)</w:t>
            </w:r>
          </w:p>
        </w:tc>
        <w:tc>
          <w:tcPr>
            <w:tcW w:w="2160" w:type="dxa"/>
            <w:shd w:val="clear" w:color="auto" w:fill="1F3864"/>
            <w:vAlign w:val="center"/>
          </w:tcPr>
          <w:p w:rsidR="004E6834" w:rsidRDefault="006836CB">
            <w:pPr>
              <w:jc w:val="center"/>
            </w:pPr>
            <w:r>
              <w:rPr>
                <w:b/>
                <w:color w:val="FFFFFF"/>
                <w:sz w:val="20"/>
              </w:rPr>
              <w:t>SPLY (US$)</w:t>
            </w:r>
          </w:p>
        </w:tc>
        <w:tc>
          <w:tcPr>
            <w:tcW w:w="1728" w:type="dxa"/>
            <w:shd w:val="clear" w:color="auto" w:fill="1F3864"/>
            <w:vAlign w:val="center"/>
          </w:tcPr>
          <w:p w:rsidR="004E6834" w:rsidRDefault="006836CB">
            <w:pPr>
              <w:jc w:val="center"/>
            </w:pPr>
            <w:r>
              <w:rPr>
                <w:b/>
                <w:color w:val="FFFFFF"/>
                <w:sz w:val="20"/>
              </w:rPr>
              <w:t>VAR vs BUDGET</w:t>
            </w:r>
          </w:p>
        </w:tc>
      </w:tr>
      <w:tr w:rsidR="004E6834">
        <w:trPr>
          <w:jc w:val="center"/>
        </w:trPr>
        <w:tc>
          <w:tcPr>
            <w:tcW w:w="3168" w:type="dxa"/>
            <w:shd w:val="clear" w:color="auto" w:fill="F2F2F2"/>
            <w:vAlign w:val="center"/>
          </w:tcPr>
          <w:p w:rsidR="004E6834" w:rsidRDefault="006836CB">
            <w:r>
              <w:rPr>
                <w:b/>
                <w:sz w:val="20"/>
              </w:rPr>
              <w:t>Total Revenue</w:t>
            </w:r>
          </w:p>
        </w:tc>
        <w:tc>
          <w:tcPr>
            <w:tcW w:w="2160" w:type="dxa"/>
            <w:shd w:val="clear" w:color="auto" w:fill="F2F2F2"/>
            <w:vAlign w:val="center"/>
          </w:tcPr>
          <w:p w:rsidR="004E6834" w:rsidRDefault="006836CB">
            <w:pPr>
              <w:jc w:val="right"/>
            </w:pPr>
            <w:r>
              <w:rPr>
                <w:sz w:val="20"/>
              </w:rPr>
              <w:t>11,410,909</w:t>
            </w:r>
          </w:p>
        </w:tc>
        <w:tc>
          <w:tcPr>
            <w:tcW w:w="2160" w:type="dxa"/>
            <w:shd w:val="clear" w:color="auto" w:fill="F2F2F2"/>
            <w:vAlign w:val="center"/>
          </w:tcPr>
          <w:p w:rsidR="004E6834" w:rsidRDefault="006836CB">
            <w:pPr>
              <w:jc w:val="right"/>
            </w:pPr>
            <w:r>
              <w:rPr>
                <w:sz w:val="20"/>
              </w:rPr>
              <w:t>9,403,878</w:t>
            </w:r>
          </w:p>
        </w:tc>
        <w:tc>
          <w:tcPr>
            <w:tcW w:w="2160" w:type="dxa"/>
            <w:shd w:val="clear" w:color="auto" w:fill="F2F2F2"/>
            <w:vAlign w:val="center"/>
          </w:tcPr>
          <w:p w:rsidR="004E6834" w:rsidRDefault="006836CB">
            <w:pPr>
              <w:jc w:val="right"/>
            </w:pPr>
            <w:r>
              <w:rPr>
                <w:sz w:val="20"/>
              </w:rPr>
              <w:t>8,652,227</w:t>
            </w:r>
          </w:p>
        </w:tc>
        <w:tc>
          <w:tcPr>
            <w:tcW w:w="1728" w:type="dxa"/>
            <w:shd w:val="clear" w:color="auto" w:fill="F2F2F2"/>
            <w:vAlign w:val="center"/>
          </w:tcPr>
          <w:p w:rsidR="004E6834" w:rsidRDefault="006836CB">
            <w:pPr>
              <w:jc w:val="center"/>
            </w:pPr>
            <w:r>
              <w:rPr>
                <w:b/>
                <w:color w:val="1E7B34"/>
                <w:sz w:val="20"/>
              </w:rPr>
              <w:t>+21.3% ▲</w:t>
            </w:r>
          </w:p>
        </w:tc>
      </w:tr>
      <w:tr w:rsidR="004E6834">
        <w:trPr>
          <w:jc w:val="center"/>
        </w:trPr>
        <w:tc>
          <w:tcPr>
            <w:tcW w:w="3168" w:type="dxa"/>
            <w:shd w:val="clear" w:color="auto" w:fill="FFFFFF"/>
            <w:vAlign w:val="center"/>
          </w:tcPr>
          <w:p w:rsidR="004E6834" w:rsidRDefault="006836CB">
            <w:r>
              <w:rPr>
                <w:b/>
                <w:sz w:val="20"/>
              </w:rPr>
              <w:t>Cost of Sales</w:t>
            </w:r>
          </w:p>
        </w:tc>
        <w:tc>
          <w:tcPr>
            <w:tcW w:w="2160" w:type="dxa"/>
            <w:shd w:val="clear" w:color="auto" w:fill="FFFFFF"/>
            <w:vAlign w:val="center"/>
          </w:tcPr>
          <w:p w:rsidR="004E6834" w:rsidRDefault="006836CB">
            <w:pPr>
              <w:jc w:val="right"/>
            </w:pPr>
            <w:r>
              <w:rPr>
                <w:sz w:val="20"/>
              </w:rPr>
              <w:t>(3,101,421)</w:t>
            </w:r>
          </w:p>
        </w:tc>
        <w:tc>
          <w:tcPr>
            <w:tcW w:w="2160" w:type="dxa"/>
            <w:shd w:val="clear" w:color="auto" w:fill="FFFFFF"/>
            <w:vAlign w:val="center"/>
          </w:tcPr>
          <w:p w:rsidR="004E6834" w:rsidRDefault="006836CB">
            <w:pPr>
              <w:jc w:val="right"/>
            </w:pPr>
            <w:r>
              <w:rPr>
                <w:sz w:val="20"/>
              </w:rPr>
              <w:t>(2,583,264)</w:t>
            </w:r>
          </w:p>
        </w:tc>
        <w:tc>
          <w:tcPr>
            <w:tcW w:w="2160" w:type="dxa"/>
            <w:shd w:val="clear" w:color="auto" w:fill="FFFFFF"/>
            <w:vAlign w:val="center"/>
          </w:tcPr>
          <w:p w:rsidR="004E6834" w:rsidRDefault="006836CB">
            <w:pPr>
              <w:jc w:val="right"/>
            </w:pPr>
            <w:r>
              <w:rPr>
                <w:sz w:val="20"/>
              </w:rPr>
              <w:t>(2,611,164)</w:t>
            </w:r>
          </w:p>
        </w:tc>
        <w:tc>
          <w:tcPr>
            <w:tcW w:w="1728" w:type="dxa"/>
            <w:shd w:val="clear" w:color="auto" w:fill="FFFFFF"/>
            <w:vAlign w:val="center"/>
          </w:tcPr>
          <w:p w:rsidR="004E6834" w:rsidRDefault="006836CB">
            <w:pPr>
              <w:jc w:val="center"/>
            </w:pPr>
            <w:r>
              <w:rPr>
                <w:color w:val="C00000"/>
                <w:sz w:val="20"/>
              </w:rPr>
              <w:t>−20.1% ▼</w:t>
            </w:r>
          </w:p>
        </w:tc>
      </w:tr>
      <w:tr w:rsidR="004E6834">
        <w:trPr>
          <w:jc w:val="center"/>
        </w:trPr>
        <w:tc>
          <w:tcPr>
            <w:tcW w:w="3168" w:type="dxa"/>
            <w:shd w:val="clear" w:color="auto" w:fill="1F3864"/>
            <w:vAlign w:val="center"/>
          </w:tcPr>
          <w:p w:rsidR="004E6834" w:rsidRDefault="006836CB">
            <w:r>
              <w:rPr>
                <w:b/>
                <w:color w:val="FFFFFF"/>
                <w:sz w:val="20"/>
              </w:rPr>
              <w:t>GROSS PROFIT</w:t>
            </w:r>
          </w:p>
        </w:tc>
        <w:tc>
          <w:tcPr>
            <w:tcW w:w="2160" w:type="dxa"/>
            <w:shd w:val="clear" w:color="auto" w:fill="1F3864"/>
            <w:vAlign w:val="center"/>
          </w:tcPr>
          <w:p w:rsidR="004E6834" w:rsidRDefault="006836CB">
            <w:pPr>
              <w:jc w:val="right"/>
            </w:pPr>
            <w:r>
              <w:rPr>
                <w:b/>
                <w:color w:val="FFFFFF"/>
                <w:sz w:val="20"/>
              </w:rPr>
              <w:t>8,309,488</w:t>
            </w:r>
          </w:p>
        </w:tc>
        <w:tc>
          <w:tcPr>
            <w:tcW w:w="2160" w:type="dxa"/>
            <w:shd w:val="clear" w:color="auto" w:fill="1F3864"/>
            <w:vAlign w:val="center"/>
          </w:tcPr>
          <w:p w:rsidR="004E6834" w:rsidRDefault="006836CB">
            <w:pPr>
              <w:jc w:val="right"/>
            </w:pPr>
            <w:r>
              <w:rPr>
                <w:b/>
                <w:color w:val="FFFFFF"/>
                <w:sz w:val="20"/>
              </w:rPr>
              <w:t>6,820,614</w:t>
            </w:r>
          </w:p>
        </w:tc>
        <w:tc>
          <w:tcPr>
            <w:tcW w:w="2160" w:type="dxa"/>
            <w:shd w:val="clear" w:color="auto" w:fill="1F3864"/>
            <w:vAlign w:val="center"/>
          </w:tcPr>
          <w:p w:rsidR="004E6834" w:rsidRDefault="006836CB">
            <w:pPr>
              <w:jc w:val="right"/>
            </w:pPr>
            <w:r>
              <w:rPr>
                <w:b/>
                <w:color w:val="FFFFFF"/>
                <w:sz w:val="20"/>
              </w:rPr>
              <w:t>6,041,063</w:t>
            </w:r>
          </w:p>
        </w:tc>
        <w:tc>
          <w:tcPr>
            <w:tcW w:w="1728" w:type="dxa"/>
            <w:shd w:val="clear" w:color="auto" w:fill="1F3864"/>
            <w:vAlign w:val="center"/>
          </w:tcPr>
          <w:p w:rsidR="004E6834" w:rsidRDefault="006836CB">
            <w:pPr>
              <w:jc w:val="center"/>
            </w:pPr>
            <w:r>
              <w:rPr>
                <w:b/>
                <w:color w:val="FFFFFF"/>
                <w:sz w:val="20"/>
              </w:rPr>
              <w:t>+21.8% ▲</w:t>
            </w:r>
          </w:p>
        </w:tc>
      </w:tr>
      <w:tr w:rsidR="004E6834">
        <w:trPr>
          <w:jc w:val="center"/>
        </w:trPr>
        <w:tc>
          <w:tcPr>
            <w:tcW w:w="3168" w:type="dxa"/>
            <w:shd w:val="clear" w:color="auto" w:fill="FFFFFF"/>
            <w:vAlign w:val="center"/>
          </w:tcPr>
          <w:p w:rsidR="004E6834" w:rsidRDefault="006836CB">
            <w:r>
              <w:rPr>
                <w:b/>
                <w:sz w:val="20"/>
              </w:rPr>
              <w:t>Gross Margin %</w:t>
            </w:r>
          </w:p>
        </w:tc>
        <w:tc>
          <w:tcPr>
            <w:tcW w:w="2160" w:type="dxa"/>
            <w:shd w:val="clear" w:color="auto" w:fill="FFFFFF"/>
            <w:vAlign w:val="center"/>
          </w:tcPr>
          <w:p w:rsidR="004E6834" w:rsidRDefault="006836CB">
            <w:pPr>
              <w:jc w:val="center"/>
            </w:pPr>
            <w:r>
              <w:rPr>
                <w:sz w:val="20"/>
              </w:rPr>
              <w:t>72.8%</w:t>
            </w:r>
          </w:p>
        </w:tc>
        <w:tc>
          <w:tcPr>
            <w:tcW w:w="2160" w:type="dxa"/>
            <w:shd w:val="clear" w:color="auto" w:fill="FFFFFF"/>
            <w:vAlign w:val="center"/>
          </w:tcPr>
          <w:p w:rsidR="004E6834" w:rsidRDefault="006836CB">
            <w:pPr>
              <w:jc w:val="center"/>
            </w:pPr>
            <w:r>
              <w:rPr>
                <w:sz w:val="20"/>
              </w:rPr>
              <w:t>72.5%</w:t>
            </w:r>
          </w:p>
        </w:tc>
        <w:tc>
          <w:tcPr>
            <w:tcW w:w="2160" w:type="dxa"/>
            <w:shd w:val="clear" w:color="auto" w:fill="FFFFFF"/>
            <w:vAlign w:val="center"/>
          </w:tcPr>
          <w:p w:rsidR="004E6834" w:rsidRDefault="006836CB">
            <w:pPr>
              <w:jc w:val="center"/>
            </w:pPr>
            <w:r>
              <w:rPr>
                <w:sz w:val="20"/>
              </w:rPr>
              <w:t>69.8%</w:t>
            </w:r>
          </w:p>
        </w:tc>
        <w:tc>
          <w:tcPr>
            <w:tcW w:w="1728" w:type="dxa"/>
            <w:shd w:val="clear" w:color="auto" w:fill="FFFFFF"/>
            <w:vAlign w:val="center"/>
          </w:tcPr>
          <w:p w:rsidR="004E6834" w:rsidRDefault="006836CB">
            <w:pPr>
              <w:jc w:val="center"/>
            </w:pPr>
            <w:r>
              <w:rPr>
                <w:b/>
                <w:color w:val="1E7B34"/>
                <w:sz w:val="20"/>
              </w:rPr>
              <w:t>+0.3pp ▲</w:t>
            </w:r>
          </w:p>
        </w:tc>
      </w:tr>
    </w:tbl>
    <w:p w:rsidR="004E6834" w:rsidRDefault="006836CB">
      <w:r>
        <w:br w:type="page"/>
      </w:r>
    </w:p>
    <w:p w:rsidR="004E6834" w:rsidRDefault="006836CB">
      <w:pPr>
        <w:pBdr>
          <w:bottom w:val="single" w:sz="12" w:space="1" w:color="2E75B6"/>
        </w:pBdr>
        <w:spacing w:before="360" w:after="120"/>
      </w:pPr>
      <w:r>
        <w:rPr>
          <w:b/>
          <w:color w:val="1F3864"/>
          <w:sz w:val="32"/>
        </w:rPr>
        <w:lastRenderedPageBreak/>
        <w:t>4.  OPERATING EXPENSES</w:t>
      </w:r>
    </w:p>
    <w:p w:rsidR="004E6834" w:rsidRDefault="006836CB">
      <w:pPr>
        <w:spacing w:after="120"/>
      </w:pPr>
      <w:r>
        <w:t xml:space="preserve">Total operating costs for Q1 2026 were </w:t>
      </w:r>
      <w:r>
        <w:rPr>
          <w:b/>
          <w:color w:val="1F3864"/>
        </w:rPr>
        <w:t xml:space="preserve">US$(6,446,291). </w:t>
      </w:r>
      <w:r>
        <w:t>Key variances versus budget and SPLY are detailed below.</w:t>
      </w:r>
    </w:p>
    <w:tbl>
      <w:tblPr>
        <w:tblStyle w:val="TableGrid"/>
        <w:tblW w:w="0" w:type="auto"/>
        <w:jc w:val="center"/>
        <w:tblLook w:val="04A0" w:firstRow="1" w:lastRow="0" w:firstColumn="1" w:lastColumn="0" w:noHBand="0" w:noVBand="1"/>
      </w:tblPr>
      <w:tblGrid>
        <w:gridCol w:w="2609"/>
        <w:gridCol w:w="1641"/>
        <w:gridCol w:w="1642"/>
        <w:gridCol w:w="1642"/>
        <w:gridCol w:w="2042"/>
      </w:tblGrid>
      <w:tr w:rsidR="004E6834">
        <w:trPr>
          <w:jc w:val="center"/>
        </w:trPr>
        <w:tc>
          <w:tcPr>
            <w:tcW w:w="3168" w:type="dxa"/>
            <w:shd w:val="clear" w:color="auto" w:fill="1F3864"/>
            <w:vAlign w:val="center"/>
          </w:tcPr>
          <w:p w:rsidR="004E6834" w:rsidRDefault="006836CB">
            <w:pPr>
              <w:jc w:val="center"/>
            </w:pPr>
            <w:r>
              <w:rPr>
                <w:b/>
                <w:color w:val="FFFFFF"/>
                <w:sz w:val="20"/>
              </w:rPr>
              <w:t>EXPENSE LINE</w:t>
            </w:r>
          </w:p>
        </w:tc>
        <w:tc>
          <w:tcPr>
            <w:tcW w:w="1872" w:type="dxa"/>
            <w:shd w:val="clear" w:color="auto" w:fill="1F3864"/>
            <w:vAlign w:val="center"/>
          </w:tcPr>
          <w:p w:rsidR="004E6834" w:rsidRDefault="006836CB">
            <w:pPr>
              <w:jc w:val="center"/>
            </w:pPr>
            <w:r>
              <w:rPr>
                <w:b/>
                <w:color w:val="FFFFFF"/>
                <w:sz w:val="20"/>
              </w:rPr>
              <w:t>ACTUAL (US$)</w:t>
            </w:r>
          </w:p>
        </w:tc>
        <w:tc>
          <w:tcPr>
            <w:tcW w:w="1872" w:type="dxa"/>
            <w:shd w:val="clear" w:color="auto" w:fill="1F3864"/>
            <w:vAlign w:val="center"/>
          </w:tcPr>
          <w:p w:rsidR="004E6834" w:rsidRDefault="006836CB">
            <w:pPr>
              <w:jc w:val="center"/>
            </w:pPr>
            <w:r>
              <w:rPr>
                <w:b/>
                <w:color w:val="FFFFFF"/>
                <w:sz w:val="20"/>
              </w:rPr>
              <w:t>BUDGET (US$)</w:t>
            </w:r>
          </w:p>
        </w:tc>
        <w:tc>
          <w:tcPr>
            <w:tcW w:w="1872" w:type="dxa"/>
            <w:shd w:val="clear" w:color="auto" w:fill="1F3864"/>
            <w:vAlign w:val="center"/>
          </w:tcPr>
          <w:p w:rsidR="004E6834" w:rsidRDefault="006836CB">
            <w:pPr>
              <w:jc w:val="center"/>
            </w:pPr>
            <w:r>
              <w:rPr>
                <w:b/>
                <w:color w:val="FFFFFF"/>
                <w:sz w:val="20"/>
              </w:rPr>
              <w:t>SPLY (US$)</w:t>
            </w:r>
          </w:p>
        </w:tc>
        <w:tc>
          <w:tcPr>
            <w:tcW w:w="2592" w:type="dxa"/>
            <w:shd w:val="clear" w:color="auto" w:fill="1F3864"/>
            <w:vAlign w:val="center"/>
          </w:tcPr>
          <w:p w:rsidR="004E6834" w:rsidRDefault="006836CB">
            <w:pPr>
              <w:jc w:val="center"/>
            </w:pPr>
            <w:r>
              <w:rPr>
                <w:b/>
                <w:color w:val="FFFFFF"/>
                <w:sz w:val="20"/>
              </w:rPr>
              <w:t>VAR vs BUDGET</w:t>
            </w:r>
          </w:p>
        </w:tc>
      </w:tr>
      <w:tr w:rsidR="004E6834">
        <w:trPr>
          <w:jc w:val="center"/>
        </w:trPr>
        <w:tc>
          <w:tcPr>
            <w:tcW w:w="3168" w:type="dxa"/>
            <w:shd w:val="clear" w:color="auto" w:fill="F2F2F2"/>
            <w:vAlign w:val="center"/>
          </w:tcPr>
          <w:p w:rsidR="004E6834" w:rsidRDefault="006836CB">
            <w:r>
              <w:rPr>
                <w:b/>
                <w:sz w:val="20"/>
              </w:rPr>
              <w:t>Other Operating Income</w:t>
            </w:r>
          </w:p>
        </w:tc>
        <w:tc>
          <w:tcPr>
            <w:tcW w:w="1872" w:type="dxa"/>
            <w:shd w:val="clear" w:color="auto" w:fill="F2F2F2"/>
            <w:vAlign w:val="center"/>
          </w:tcPr>
          <w:p w:rsidR="004E6834" w:rsidRDefault="006836CB">
            <w:pPr>
              <w:jc w:val="right"/>
            </w:pPr>
            <w:r>
              <w:rPr>
                <w:sz w:val="20"/>
              </w:rPr>
              <w:t>658,111</w:t>
            </w:r>
          </w:p>
        </w:tc>
        <w:tc>
          <w:tcPr>
            <w:tcW w:w="1872" w:type="dxa"/>
            <w:shd w:val="clear" w:color="auto" w:fill="F2F2F2"/>
            <w:vAlign w:val="center"/>
          </w:tcPr>
          <w:p w:rsidR="004E6834" w:rsidRDefault="006836CB">
            <w:pPr>
              <w:jc w:val="right"/>
            </w:pPr>
            <w:r>
              <w:rPr>
                <w:sz w:val="20"/>
              </w:rPr>
              <w:t>195,147</w:t>
            </w:r>
          </w:p>
        </w:tc>
        <w:tc>
          <w:tcPr>
            <w:tcW w:w="1872" w:type="dxa"/>
            <w:shd w:val="clear" w:color="auto" w:fill="F2F2F2"/>
            <w:vAlign w:val="center"/>
          </w:tcPr>
          <w:p w:rsidR="004E6834" w:rsidRDefault="006836CB">
            <w:pPr>
              <w:jc w:val="right"/>
            </w:pPr>
            <w:r>
              <w:rPr>
                <w:sz w:val="20"/>
              </w:rPr>
              <w:t>736,375</w:t>
            </w:r>
          </w:p>
        </w:tc>
        <w:tc>
          <w:tcPr>
            <w:tcW w:w="2592" w:type="dxa"/>
            <w:shd w:val="clear" w:color="auto" w:fill="F2F2F2"/>
            <w:vAlign w:val="center"/>
          </w:tcPr>
          <w:p w:rsidR="004E6834" w:rsidRDefault="006836CB">
            <w:pPr>
              <w:jc w:val="center"/>
            </w:pPr>
            <w:r>
              <w:rPr>
                <w:b/>
                <w:color w:val="1E7B34"/>
                <w:sz w:val="20"/>
              </w:rPr>
              <w:t>+237.2% ▲</w:t>
            </w:r>
          </w:p>
        </w:tc>
      </w:tr>
      <w:tr w:rsidR="004E6834">
        <w:trPr>
          <w:jc w:val="center"/>
        </w:trPr>
        <w:tc>
          <w:tcPr>
            <w:tcW w:w="3168" w:type="dxa"/>
            <w:shd w:val="clear" w:color="auto" w:fill="FFFFFF"/>
            <w:vAlign w:val="center"/>
          </w:tcPr>
          <w:p w:rsidR="004E6834" w:rsidRDefault="006836CB">
            <w:r>
              <w:rPr>
                <w:b/>
                <w:sz w:val="20"/>
              </w:rPr>
              <w:t>Administrative Expenses</w:t>
            </w:r>
          </w:p>
        </w:tc>
        <w:tc>
          <w:tcPr>
            <w:tcW w:w="1872" w:type="dxa"/>
            <w:shd w:val="clear" w:color="auto" w:fill="FFFFFF"/>
            <w:vAlign w:val="center"/>
          </w:tcPr>
          <w:p w:rsidR="004E6834" w:rsidRDefault="006836CB">
            <w:pPr>
              <w:jc w:val="right"/>
            </w:pPr>
            <w:r>
              <w:rPr>
                <w:sz w:val="20"/>
              </w:rPr>
              <w:t>(3,479,655)</w:t>
            </w:r>
          </w:p>
        </w:tc>
        <w:tc>
          <w:tcPr>
            <w:tcW w:w="1872" w:type="dxa"/>
            <w:shd w:val="clear" w:color="auto" w:fill="FFFFFF"/>
            <w:vAlign w:val="center"/>
          </w:tcPr>
          <w:p w:rsidR="004E6834" w:rsidRDefault="006836CB">
            <w:pPr>
              <w:jc w:val="right"/>
            </w:pPr>
            <w:r>
              <w:rPr>
                <w:sz w:val="20"/>
              </w:rPr>
              <w:t>(4,772,616)</w:t>
            </w:r>
          </w:p>
        </w:tc>
        <w:tc>
          <w:tcPr>
            <w:tcW w:w="1872" w:type="dxa"/>
            <w:shd w:val="clear" w:color="auto" w:fill="FFFFFF"/>
            <w:vAlign w:val="center"/>
          </w:tcPr>
          <w:p w:rsidR="004E6834" w:rsidRDefault="006836CB">
            <w:pPr>
              <w:jc w:val="right"/>
            </w:pPr>
            <w:r>
              <w:rPr>
                <w:sz w:val="20"/>
              </w:rPr>
              <w:t>(3,287,631)</w:t>
            </w:r>
          </w:p>
        </w:tc>
        <w:tc>
          <w:tcPr>
            <w:tcW w:w="2592" w:type="dxa"/>
            <w:shd w:val="clear" w:color="auto" w:fill="FFFFFF"/>
            <w:vAlign w:val="center"/>
          </w:tcPr>
          <w:p w:rsidR="004E6834" w:rsidRDefault="006836CB">
            <w:pPr>
              <w:jc w:val="center"/>
            </w:pPr>
            <w:r>
              <w:rPr>
                <w:b/>
                <w:color w:val="1E7B34"/>
                <w:sz w:val="20"/>
              </w:rPr>
              <w:t>+27.1% Fav ▲</w:t>
            </w:r>
          </w:p>
        </w:tc>
      </w:tr>
      <w:tr w:rsidR="004E6834">
        <w:trPr>
          <w:jc w:val="center"/>
        </w:trPr>
        <w:tc>
          <w:tcPr>
            <w:tcW w:w="3168" w:type="dxa"/>
            <w:shd w:val="clear" w:color="auto" w:fill="F2F2F2"/>
            <w:vAlign w:val="center"/>
          </w:tcPr>
          <w:p w:rsidR="004E6834" w:rsidRDefault="006836CB">
            <w:r>
              <w:rPr>
                <w:b/>
                <w:sz w:val="20"/>
              </w:rPr>
              <w:t>Selling &amp; Distribution</w:t>
            </w:r>
          </w:p>
        </w:tc>
        <w:tc>
          <w:tcPr>
            <w:tcW w:w="1872" w:type="dxa"/>
            <w:shd w:val="clear" w:color="auto" w:fill="F2F2F2"/>
            <w:vAlign w:val="center"/>
          </w:tcPr>
          <w:p w:rsidR="004E6834" w:rsidRDefault="006836CB">
            <w:pPr>
              <w:jc w:val="right"/>
            </w:pPr>
            <w:r>
              <w:rPr>
                <w:sz w:val="20"/>
              </w:rPr>
              <w:t>(1,017,660)</w:t>
            </w:r>
          </w:p>
        </w:tc>
        <w:tc>
          <w:tcPr>
            <w:tcW w:w="1872" w:type="dxa"/>
            <w:shd w:val="clear" w:color="auto" w:fill="F2F2F2"/>
            <w:vAlign w:val="center"/>
          </w:tcPr>
          <w:p w:rsidR="004E6834" w:rsidRDefault="006836CB">
            <w:pPr>
              <w:jc w:val="right"/>
            </w:pPr>
            <w:r>
              <w:rPr>
                <w:sz w:val="20"/>
              </w:rPr>
              <w:t>(1,393,524)</w:t>
            </w:r>
          </w:p>
        </w:tc>
        <w:tc>
          <w:tcPr>
            <w:tcW w:w="1872" w:type="dxa"/>
            <w:shd w:val="clear" w:color="auto" w:fill="F2F2F2"/>
            <w:vAlign w:val="center"/>
          </w:tcPr>
          <w:p w:rsidR="004E6834" w:rsidRDefault="006836CB">
            <w:pPr>
              <w:jc w:val="right"/>
            </w:pPr>
            <w:r>
              <w:rPr>
                <w:sz w:val="20"/>
              </w:rPr>
              <w:t>(840,351)</w:t>
            </w:r>
          </w:p>
        </w:tc>
        <w:tc>
          <w:tcPr>
            <w:tcW w:w="2592" w:type="dxa"/>
            <w:shd w:val="clear" w:color="auto" w:fill="F2F2F2"/>
            <w:vAlign w:val="center"/>
          </w:tcPr>
          <w:p w:rsidR="004E6834" w:rsidRDefault="006836CB">
            <w:pPr>
              <w:jc w:val="center"/>
            </w:pPr>
            <w:r>
              <w:rPr>
                <w:b/>
                <w:color w:val="1E7B34"/>
                <w:sz w:val="20"/>
              </w:rPr>
              <w:t>+27.0% Fav ▲</w:t>
            </w:r>
          </w:p>
        </w:tc>
      </w:tr>
      <w:tr w:rsidR="004E6834">
        <w:trPr>
          <w:jc w:val="center"/>
        </w:trPr>
        <w:tc>
          <w:tcPr>
            <w:tcW w:w="3168" w:type="dxa"/>
            <w:shd w:val="clear" w:color="auto" w:fill="FFFFFF"/>
            <w:vAlign w:val="center"/>
          </w:tcPr>
          <w:p w:rsidR="004E6834" w:rsidRDefault="006836CB">
            <w:r>
              <w:rPr>
                <w:b/>
                <w:sz w:val="20"/>
              </w:rPr>
              <w:t>Other Operating Expenses</w:t>
            </w:r>
          </w:p>
        </w:tc>
        <w:tc>
          <w:tcPr>
            <w:tcW w:w="1872" w:type="dxa"/>
            <w:shd w:val="clear" w:color="auto" w:fill="FFFFFF"/>
            <w:vAlign w:val="center"/>
          </w:tcPr>
          <w:p w:rsidR="004E6834" w:rsidRDefault="006836CB">
            <w:pPr>
              <w:jc w:val="right"/>
            </w:pPr>
            <w:r>
              <w:rPr>
                <w:sz w:val="20"/>
              </w:rPr>
              <w:t>(1,948,975)</w:t>
            </w:r>
          </w:p>
        </w:tc>
        <w:tc>
          <w:tcPr>
            <w:tcW w:w="1872" w:type="dxa"/>
            <w:shd w:val="clear" w:color="auto" w:fill="FFFFFF"/>
            <w:vAlign w:val="center"/>
          </w:tcPr>
          <w:p w:rsidR="004E6834" w:rsidRDefault="006836CB">
            <w:pPr>
              <w:jc w:val="right"/>
            </w:pPr>
            <w:r>
              <w:rPr>
                <w:sz w:val="20"/>
              </w:rPr>
              <w:t>(666,946)</w:t>
            </w:r>
          </w:p>
        </w:tc>
        <w:tc>
          <w:tcPr>
            <w:tcW w:w="1872" w:type="dxa"/>
            <w:shd w:val="clear" w:color="auto" w:fill="FFFFFF"/>
            <w:vAlign w:val="center"/>
          </w:tcPr>
          <w:p w:rsidR="004E6834" w:rsidRDefault="006836CB">
            <w:pPr>
              <w:jc w:val="right"/>
            </w:pPr>
            <w:r>
              <w:rPr>
                <w:sz w:val="20"/>
              </w:rPr>
              <w:t>(2,530,052)</w:t>
            </w:r>
          </w:p>
        </w:tc>
        <w:tc>
          <w:tcPr>
            <w:tcW w:w="2592" w:type="dxa"/>
            <w:shd w:val="clear" w:color="auto" w:fill="FFFFFF"/>
            <w:vAlign w:val="center"/>
          </w:tcPr>
          <w:p w:rsidR="004E6834" w:rsidRDefault="006836CB">
            <w:pPr>
              <w:jc w:val="center"/>
            </w:pPr>
            <w:r>
              <w:rPr>
                <w:b/>
                <w:color w:val="C00000"/>
                <w:sz w:val="20"/>
              </w:rPr>
              <w:t>−192.2% Unfav ▼</w:t>
            </w:r>
          </w:p>
        </w:tc>
      </w:tr>
      <w:tr w:rsidR="004E6834">
        <w:trPr>
          <w:jc w:val="center"/>
        </w:trPr>
        <w:tc>
          <w:tcPr>
            <w:tcW w:w="3168" w:type="dxa"/>
            <w:shd w:val="clear" w:color="auto" w:fill="F2F2F2"/>
            <w:vAlign w:val="center"/>
          </w:tcPr>
          <w:p w:rsidR="004E6834" w:rsidRDefault="006836CB">
            <w:r>
              <w:rPr>
                <w:b/>
                <w:sz w:val="20"/>
              </w:rPr>
              <w:t>Depreciation &amp; Amortisation</w:t>
            </w:r>
          </w:p>
        </w:tc>
        <w:tc>
          <w:tcPr>
            <w:tcW w:w="1872" w:type="dxa"/>
            <w:shd w:val="clear" w:color="auto" w:fill="F2F2F2"/>
            <w:vAlign w:val="center"/>
          </w:tcPr>
          <w:p w:rsidR="004E6834" w:rsidRDefault="006836CB">
            <w:pPr>
              <w:jc w:val="right"/>
            </w:pPr>
            <w:r>
              <w:rPr>
                <w:sz w:val="20"/>
              </w:rPr>
              <w:t>(661,030)</w:t>
            </w:r>
          </w:p>
        </w:tc>
        <w:tc>
          <w:tcPr>
            <w:tcW w:w="1872" w:type="dxa"/>
            <w:shd w:val="clear" w:color="auto" w:fill="F2F2F2"/>
            <w:vAlign w:val="center"/>
          </w:tcPr>
          <w:p w:rsidR="004E6834" w:rsidRDefault="006836CB">
            <w:pPr>
              <w:jc w:val="right"/>
            </w:pPr>
            <w:r>
              <w:rPr>
                <w:sz w:val="20"/>
              </w:rPr>
              <w:t>(1,159,789)</w:t>
            </w:r>
          </w:p>
        </w:tc>
        <w:tc>
          <w:tcPr>
            <w:tcW w:w="1872" w:type="dxa"/>
            <w:shd w:val="clear" w:color="auto" w:fill="F2F2F2"/>
            <w:vAlign w:val="center"/>
          </w:tcPr>
          <w:p w:rsidR="004E6834" w:rsidRDefault="006836CB">
            <w:pPr>
              <w:jc w:val="right"/>
            </w:pPr>
            <w:r>
              <w:rPr>
                <w:sz w:val="20"/>
              </w:rPr>
              <w:t>(563,884)</w:t>
            </w:r>
          </w:p>
        </w:tc>
        <w:tc>
          <w:tcPr>
            <w:tcW w:w="2592" w:type="dxa"/>
            <w:shd w:val="clear" w:color="auto" w:fill="F2F2F2"/>
            <w:vAlign w:val="center"/>
          </w:tcPr>
          <w:p w:rsidR="004E6834" w:rsidRDefault="006836CB">
            <w:pPr>
              <w:jc w:val="center"/>
            </w:pPr>
            <w:r>
              <w:rPr>
                <w:b/>
                <w:color w:val="1E7B34"/>
                <w:sz w:val="20"/>
              </w:rPr>
              <w:t>+43.0% Fav ▲</w:t>
            </w:r>
          </w:p>
        </w:tc>
      </w:tr>
      <w:tr w:rsidR="004E6834">
        <w:trPr>
          <w:jc w:val="center"/>
        </w:trPr>
        <w:tc>
          <w:tcPr>
            <w:tcW w:w="3168" w:type="dxa"/>
            <w:shd w:val="clear" w:color="auto" w:fill="FFFFFF"/>
            <w:vAlign w:val="center"/>
          </w:tcPr>
          <w:p w:rsidR="004E6834" w:rsidRDefault="006836CB">
            <w:r>
              <w:rPr>
                <w:b/>
                <w:sz w:val="20"/>
              </w:rPr>
              <w:t>Net Finance Cost</w:t>
            </w:r>
          </w:p>
        </w:tc>
        <w:tc>
          <w:tcPr>
            <w:tcW w:w="1872" w:type="dxa"/>
            <w:shd w:val="clear" w:color="auto" w:fill="FFFFFF"/>
            <w:vAlign w:val="center"/>
          </w:tcPr>
          <w:p w:rsidR="004E6834" w:rsidRDefault="006836CB">
            <w:pPr>
              <w:jc w:val="right"/>
            </w:pPr>
            <w:r>
              <w:rPr>
                <w:sz w:val="20"/>
              </w:rPr>
              <w:t>(336,462)</w:t>
            </w:r>
          </w:p>
        </w:tc>
        <w:tc>
          <w:tcPr>
            <w:tcW w:w="1872" w:type="dxa"/>
            <w:shd w:val="clear" w:color="auto" w:fill="FFFFFF"/>
            <w:vAlign w:val="center"/>
          </w:tcPr>
          <w:p w:rsidR="004E6834" w:rsidRDefault="006836CB">
            <w:pPr>
              <w:jc w:val="right"/>
            </w:pPr>
            <w:r>
              <w:rPr>
                <w:sz w:val="20"/>
              </w:rPr>
              <w:t>(467,373)</w:t>
            </w:r>
          </w:p>
        </w:tc>
        <w:tc>
          <w:tcPr>
            <w:tcW w:w="1872" w:type="dxa"/>
            <w:shd w:val="clear" w:color="auto" w:fill="FFFFFF"/>
            <w:vAlign w:val="center"/>
          </w:tcPr>
          <w:p w:rsidR="004E6834" w:rsidRDefault="006836CB">
            <w:pPr>
              <w:jc w:val="right"/>
            </w:pPr>
            <w:r>
              <w:rPr>
                <w:sz w:val="20"/>
              </w:rPr>
              <w:t>(87,750)</w:t>
            </w:r>
          </w:p>
        </w:tc>
        <w:tc>
          <w:tcPr>
            <w:tcW w:w="2592" w:type="dxa"/>
            <w:shd w:val="clear" w:color="auto" w:fill="FFFFFF"/>
            <w:vAlign w:val="center"/>
          </w:tcPr>
          <w:p w:rsidR="004E6834" w:rsidRDefault="006836CB">
            <w:pPr>
              <w:jc w:val="center"/>
            </w:pPr>
            <w:r>
              <w:rPr>
                <w:b/>
                <w:color w:val="1E7B34"/>
                <w:sz w:val="20"/>
              </w:rPr>
              <w:t>+28.0% Fav ▲</w:t>
            </w:r>
          </w:p>
        </w:tc>
      </w:tr>
    </w:tbl>
    <w:p w:rsidR="004E6834" w:rsidRDefault="004E6834"/>
    <w:p w:rsidR="004E6834" w:rsidRDefault="006836CB">
      <w:pPr>
        <w:spacing w:after="120"/>
      </w:pPr>
      <w:r>
        <w:t xml:space="preserve">We achieved significant savings in administrative expenses — US$(3,479,655) against a budget of US$(4,772,616) — a </w:t>
      </w:r>
      <w:r>
        <w:rPr>
          <w:b/>
          <w:color w:val="1E7B34"/>
        </w:rPr>
        <w:t xml:space="preserve">US$1,292,961 favourable variance (+27.1%) </w:t>
      </w:r>
      <w:r>
        <w:t xml:space="preserve">— </w:t>
      </w:r>
      <w:r w:rsidRPr="002B3FE5">
        <w:rPr>
          <w:color w:val="000000" w:themeColor="text1"/>
          <w:highlight w:val="magenta"/>
        </w:rPr>
        <w:t>primarily because of concerted efforts to rationalise corporate overhead and curtail discretionary expenditure</w:t>
      </w:r>
      <w:r>
        <w:t xml:space="preserve">. Selling and distribution costs were also </w:t>
      </w:r>
      <w:r>
        <w:rPr>
          <w:b/>
          <w:color w:val="1E7B34"/>
        </w:rPr>
        <w:t xml:space="preserve">27.0% below budget, </w:t>
      </w:r>
      <w:r w:rsidRPr="00F6739C">
        <w:rPr>
          <w:highlight w:val="lightGray"/>
        </w:rPr>
        <w:t>reflecting the Group's growing ability to generate revenue through lower-cost direct channels and loyalty-driven repeat business.</w:t>
      </w:r>
    </w:p>
    <w:p w:rsidR="004E6834" w:rsidRDefault="006836CB">
      <w:pPr>
        <w:spacing w:after="120"/>
      </w:pPr>
      <w:r w:rsidRPr="00F6739C">
        <w:rPr>
          <w:highlight w:val="lightGray"/>
        </w:rPr>
        <w:t xml:space="preserve">Other operating expenses of US$(1,948,975) exceeded the budget of US$(666,946) by </w:t>
      </w:r>
      <w:r w:rsidRPr="00F6739C">
        <w:rPr>
          <w:b/>
          <w:color w:val="C00000"/>
          <w:highlight w:val="lightGray"/>
        </w:rPr>
        <w:t xml:space="preserve">US$1,282,029 (192% unfavourable). </w:t>
      </w:r>
      <w:r w:rsidRPr="00F6739C">
        <w:rPr>
          <w:highlight w:val="lightGray"/>
        </w:rPr>
        <w:t xml:space="preserve">Management is actively reviewing this line and it is expected to normalise over subsequent quarters. Finance costs of US$(336,462) were </w:t>
      </w:r>
      <w:r w:rsidRPr="00F6739C">
        <w:rPr>
          <w:b/>
          <w:color w:val="1E7B34"/>
          <w:highlight w:val="lightGray"/>
        </w:rPr>
        <w:t xml:space="preserve">28% below the budgeted US$(467,373), </w:t>
      </w:r>
      <w:r w:rsidRPr="00F6739C">
        <w:rPr>
          <w:highlight w:val="lightGray"/>
        </w:rPr>
        <w:t>reflecting improved debt management and lower drawdowns on working capital facilities.</w:t>
      </w:r>
    </w:p>
    <w:p w:rsidR="004E6834" w:rsidRDefault="006836CB">
      <w:r>
        <w:br w:type="page"/>
      </w:r>
    </w:p>
    <w:p w:rsidR="004E6834" w:rsidRDefault="006836CB">
      <w:pPr>
        <w:pBdr>
          <w:bottom w:val="single" w:sz="12" w:space="1" w:color="2E75B6"/>
        </w:pBdr>
        <w:spacing w:before="360" w:after="120"/>
      </w:pPr>
      <w:r>
        <w:rPr>
          <w:b/>
          <w:color w:val="1F3864"/>
          <w:sz w:val="32"/>
        </w:rPr>
        <w:lastRenderedPageBreak/>
        <w:t>5.  EBITDA PERFORMANCE</w:t>
      </w:r>
    </w:p>
    <w:p w:rsidR="004E6834" w:rsidRDefault="006836CB">
      <w:pPr>
        <w:spacing w:after="120"/>
      </w:pPr>
      <w:r>
        <w:t xml:space="preserve">The Group recorded EBITDA of </w:t>
      </w:r>
      <w:r>
        <w:rPr>
          <w:b/>
          <w:color w:val="1E7B34"/>
        </w:rPr>
        <w:t xml:space="preserve">US$2,521,308 (22.1% margin) </w:t>
      </w:r>
      <w:r>
        <w:t xml:space="preserve">— a dramatic outperformance versus the budgeted EBITDA of US$182,675 (1.9%) and SPLY of US$119,404 (1.4%). </w:t>
      </w:r>
      <w:r w:rsidRPr="00F964D5">
        <w:rPr>
          <w:highlight w:val="lightGray"/>
        </w:rPr>
        <w:t xml:space="preserve">This EBITDA beat the budget by </w:t>
      </w:r>
      <w:r w:rsidRPr="00F964D5">
        <w:rPr>
          <w:b/>
          <w:color w:val="1E7B34"/>
          <w:highlight w:val="lightGray"/>
        </w:rPr>
        <w:t xml:space="preserve">US$2,338,633 — a 1,280% outperformance. </w:t>
      </w:r>
      <w:r w:rsidRPr="00F964D5">
        <w:rPr>
          <w:highlight w:val="lightGray"/>
        </w:rPr>
        <w:t>These results demonstrate that the Group's operational leverage has materially improved: higher revenues are flowing through to earnings at a significantly more efficient rate than budgeted.</w:t>
      </w:r>
      <w:r w:rsidR="00F964D5">
        <w:t xml:space="preserve"> </w:t>
      </w:r>
      <w:r w:rsidR="00F964D5" w:rsidRPr="00987884">
        <w:rPr>
          <w:b/>
          <w:color w:val="FF66CC"/>
        </w:rPr>
        <w:t>Ok but what was done differently to achieve this? How have we ensured that revenues are flowing through</w:t>
      </w:r>
      <w:r w:rsidR="00E87718" w:rsidRPr="00987884">
        <w:rPr>
          <w:b/>
          <w:color w:val="FF66CC"/>
        </w:rPr>
        <w:t xml:space="preserve"> to earnings significantly more efficiently? Because for a 1280% margin, there has to be something that was done</w:t>
      </w:r>
    </w:p>
    <w:p w:rsidR="004E6834" w:rsidRDefault="006836CB">
      <w:pPr>
        <w:spacing w:after="120"/>
      </w:pPr>
      <w:r>
        <w:t>We achieved this EBITDA performance because of the strong revenue overperformance combined with administrative cost containment, disciplined procurement, and the benefits of the Revenue Generation Program</w:t>
      </w:r>
      <w:r w:rsidR="00760BD3">
        <w:t xml:space="preserve"> (</w:t>
      </w:r>
      <w:r w:rsidR="00760BD3" w:rsidRPr="00760BD3">
        <w:rPr>
          <w:b/>
          <w:color w:val="FF66CC"/>
        </w:rPr>
        <w:t>details of the Revenue Generation Program Needed Here</w:t>
      </w:r>
      <w:proofErr w:type="gramStart"/>
      <w:r w:rsidR="00760BD3" w:rsidRPr="00760BD3">
        <w:rPr>
          <w:b/>
          <w:color w:val="FF66CC"/>
        </w:rPr>
        <w:t>!!!</w:t>
      </w:r>
      <w:r w:rsidR="00CF14D3">
        <w:rPr>
          <w:b/>
          <w:color w:val="FF66CC"/>
        </w:rPr>
        <w:t xml:space="preserve"> </w:t>
      </w:r>
      <w:proofErr w:type="gramEnd"/>
      <w:r w:rsidR="00CF14D3">
        <w:rPr>
          <w:b/>
          <w:color w:val="FF66CC"/>
        </w:rPr>
        <w:t>What were the benefits and from where???</w:t>
      </w:r>
      <w:r w:rsidR="00760BD3" w:rsidRPr="00760BD3">
        <w:rPr>
          <w:b/>
          <w:color w:val="FF66CC"/>
        </w:rPr>
        <w:t>)</w:t>
      </w:r>
      <w:r w:rsidRPr="00760BD3">
        <w:rPr>
          <w:color w:val="FF66CC"/>
        </w:rPr>
        <w:t xml:space="preserve"> </w:t>
      </w:r>
      <w:r>
        <w:t xml:space="preserve">— </w:t>
      </w:r>
      <w:proofErr w:type="gramStart"/>
      <w:r>
        <w:t>which</w:t>
      </w:r>
      <w:proofErr w:type="gramEnd"/>
      <w:r>
        <w:t xml:space="preserve"> drove higher occupancy and room rate recovery in February and March. EBITDA is a leading indicator of the Group's financial health and its capacity to fund future capital reinvestment.</w:t>
      </w:r>
    </w:p>
    <w:p w:rsidR="004E6834" w:rsidRDefault="006836CB">
      <w:r>
        <w:br w:type="page"/>
      </w:r>
    </w:p>
    <w:p w:rsidR="004E6834" w:rsidRDefault="006836CB">
      <w:pPr>
        <w:pBdr>
          <w:bottom w:val="single" w:sz="12" w:space="1" w:color="2E75B6"/>
        </w:pBdr>
        <w:spacing w:before="360" w:after="120"/>
      </w:pPr>
      <w:r>
        <w:rPr>
          <w:b/>
          <w:color w:val="1F3864"/>
          <w:sz w:val="32"/>
        </w:rPr>
        <w:lastRenderedPageBreak/>
        <w:t>6.  PROFIT BEFORE TAX</w:t>
      </w:r>
    </w:p>
    <w:p w:rsidR="004E6834" w:rsidRDefault="006836CB">
      <w:pPr>
        <w:spacing w:after="120"/>
      </w:pPr>
      <w:r>
        <w:t xml:space="preserve">The Group achieved a </w:t>
      </w:r>
      <w:r>
        <w:rPr>
          <w:b/>
          <w:color w:val="1E7B34"/>
        </w:rPr>
        <w:t xml:space="preserve">Profit Before Tax (PBT) of US$1,523,816 — a margin of 13.4%. </w:t>
      </w:r>
      <w:r>
        <w:t xml:space="preserve">This represents a remarkable turnaround: the budget had anticipated a loss of US$(1,444,487) (−15.4% margin) and SPLY also recorded a loss of US$(532,230) (−6.2% margin). The Group therefore delivered a </w:t>
      </w:r>
      <w:r>
        <w:rPr>
          <w:b/>
          <w:color w:val="1E7B34"/>
        </w:rPr>
        <w:t xml:space="preserve">positive swing of US$2,968,303 versus budget </w:t>
      </w:r>
      <w:r>
        <w:t>and US$2,056,046 versus SPLY.</w:t>
      </w:r>
    </w:p>
    <w:p w:rsidR="004E6834" w:rsidRDefault="006836CB">
      <w:pPr>
        <w:spacing w:after="120"/>
      </w:pPr>
      <w:r>
        <w:t>The PBT was achieved through: (1) revenue growth of +21.3% above budget; (2) gross margin improvement of 0.3pp vs budget; (3) US$1,293k savings in administrative expenses; (4) US$376k savings in selling and distribution; (5) US$463k of other operating income above budget; and (6) US$499k depreciation savings — partially offset by US$1,282k of unfavourable other operating costs and US$249k of higher finance costs vs SPLY.</w:t>
      </w:r>
    </w:p>
    <w:tbl>
      <w:tblPr>
        <w:tblStyle w:val="TableGrid"/>
        <w:tblW w:w="0" w:type="auto"/>
        <w:jc w:val="center"/>
        <w:tblLook w:val="04A0" w:firstRow="1" w:lastRow="0" w:firstColumn="1" w:lastColumn="0" w:noHBand="0" w:noVBand="1"/>
      </w:tblPr>
      <w:tblGrid>
        <w:gridCol w:w="4449"/>
        <w:gridCol w:w="2251"/>
        <w:gridCol w:w="2876"/>
      </w:tblGrid>
      <w:tr w:rsidR="004E6834">
        <w:trPr>
          <w:jc w:val="center"/>
        </w:trPr>
        <w:tc>
          <w:tcPr>
            <w:tcW w:w="5040" w:type="dxa"/>
            <w:shd w:val="clear" w:color="auto" w:fill="1F3864"/>
            <w:vAlign w:val="center"/>
          </w:tcPr>
          <w:p w:rsidR="004E6834" w:rsidRDefault="006836CB">
            <w:pPr>
              <w:jc w:val="center"/>
            </w:pPr>
            <w:r>
              <w:rPr>
                <w:b/>
                <w:color w:val="FFFFFF"/>
                <w:sz w:val="20"/>
              </w:rPr>
              <w:t>PBT BRIDGE: ACTUAL vs BUDGET</w:t>
            </w:r>
          </w:p>
        </w:tc>
        <w:tc>
          <w:tcPr>
            <w:tcW w:w="2448" w:type="dxa"/>
            <w:shd w:val="clear" w:color="auto" w:fill="1F3864"/>
            <w:vAlign w:val="center"/>
          </w:tcPr>
          <w:p w:rsidR="004E6834" w:rsidRDefault="006836CB">
            <w:pPr>
              <w:jc w:val="center"/>
            </w:pPr>
            <w:r>
              <w:rPr>
                <w:b/>
                <w:color w:val="FFFFFF"/>
                <w:sz w:val="20"/>
              </w:rPr>
              <w:t>AMOUNT (US$)</w:t>
            </w:r>
          </w:p>
        </w:tc>
        <w:tc>
          <w:tcPr>
            <w:tcW w:w="3168" w:type="dxa"/>
            <w:shd w:val="clear" w:color="auto" w:fill="1F3864"/>
            <w:vAlign w:val="center"/>
          </w:tcPr>
          <w:p w:rsidR="004E6834" w:rsidRDefault="006836CB">
            <w:pPr>
              <w:jc w:val="center"/>
            </w:pPr>
            <w:r>
              <w:rPr>
                <w:b/>
                <w:color w:val="FFFFFF"/>
                <w:sz w:val="20"/>
              </w:rPr>
              <w:t>IMPACT</w:t>
            </w:r>
          </w:p>
        </w:tc>
      </w:tr>
      <w:tr w:rsidR="004E6834">
        <w:trPr>
          <w:jc w:val="center"/>
        </w:trPr>
        <w:tc>
          <w:tcPr>
            <w:tcW w:w="5040" w:type="dxa"/>
            <w:shd w:val="clear" w:color="auto" w:fill="F2F2F2"/>
            <w:vAlign w:val="center"/>
          </w:tcPr>
          <w:p w:rsidR="004E6834" w:rsidRDefault="006836CB">
            <w:r>
              <w:rPr>
                <w:b/>
                <w:sz w:val="20"/>
              </w:rPr>
              <w:t>Budget PBT (Loss)</w:t>
            </w:r>
          </w:p>
        </w:tc>
        <w:tc>
          <w:tcPr>
            <w:tcW w:w="2448" w:type="dxa"/>
            <w:shd w:val="clear" w:color="auto" w:fill="F2F2F2"/>
            <w:vAlign w:val="center"/>
          </w:tcPr>
          <w:p w:rsidR="004E6834" w:rsidRDefault="006836CB">
            <w:pPr>
              <w:jc w:val="right"/>
            </w:pPr>
            <w:r>
              <w:rPr>
                <w:color w:val="C00000"/>
                <w:sz w:val="20"/>
              </w:rPr>
              <w:t>(1,444,487)</w:t>
            </w:r>
          </w:p>
        </w:tc>
        <w:tc>
          <w:tcPr>
            <w:tcW w:w="3168" w:type="dxa"/>
            <w:shd w:val="clear" w:color="auto" w:fill="F2F2F2"/>
            <w:vAlign w:val="center"/>
          </w:tcPr>
          <w:p w:rsidR="004E6834" w:rsidRDefault="006836CB">
            <w:pPr>
              <w:jc w:val="center"/>
            </w:pPr>
            <w:r>
              <w:rPr>
                <w:sz w:val="20"/>
              </w:rPr>
              <w:t>Starting point</w:t>
            </w:r>
          </w:p>
        </w:tc>
      </w:tr>
      <w:tr w:rsidR="004E6834">
        <w:trPr>
          <w:jc w:val="center"/>
        </w:trPr>
        <w:tc>
          <w:tcPr>
            <w:tcW w:w="5040" w:type="dxa"/>
            <w:shd w:val="clear" w:color="auto" w:fill="FFFFFF"/>
            <w:vAlign w:val="center"/>
          </w:tcPr>
          <w:p w:rsidR="004E6834" w:rsidRDefault="006836CB">
            <w:r>
              <w:rPr>
                <w:sz w:val="20"/>
              </w:rPr>
              <w:t>Revenue outperformance</w:t>
            </w:r>
          </w:p>
        </w:tc>
        <w:tc>
          <w:tcPr>
            <w:tcW w:w="2448" w:type="dxa"/>
            <w:shd w:val="clear" w:color="auto" w:fill="FFFFFF"/>
            <w:vAlign w:val="center"/>
          </w:tcPr>
          <w:p w:rsidR="004E6834" w:rsidRDefault="006836CB">
            <w:pPr>
              <w:jc w:val="right"/>
            </w:pPr>
            <w:r>
              <w:rPr>
                <w:b/>
                <w:color w:val="1E7B34"/>
                <w:sz w:val="20"/>
              </w:rPr>
              <w:t>+2,007,031</w:t>
            </w:r>
          </w:p>
        </w:tc>
        <w:tc>
          <w:tcPr>
            <w:tcW w:w="3168" w:type="dxa"/>
            <w:shd w:val="clear" w:color="auto" w:fill="FFFFFF"/>
            <w:vAlign w:val="center"/>
          </w:tcPr>
          <w:p w:rsidR="004E6834" w:rsidRDefault="006836CB">
            <w:pPr>
              <w:jc w:val="center"/>
            </w:pPr>
            <w:r>
              <w:rPr>
                <w:b/>
                <w:color w:val="1E7B34"/>
                <w:sz w:val="20"/>
              </w:rPr>
              <w:t>Favourable ▲</w:t>
            </w:r>
          </w:p>
        </w:tc>
      </w:tr>
      <w:tr w:rsidR="004E6834">
        <w:trPr>
          <w:jc w:val="center"/>
        </w:trPr>
        <w:tc>
          <w:tcPr>
            <w:tcW w:w="5040" w:type="dxa"/>
            <w:shd w:val="clear" w:color="auto" w:fill="F2F2F2"/>
            <w:vAlign w:val="center"/>
          </w:tcPr>
          <w:p w:rsidR="004E6834" w:rsidRDefault="006836CB">
            <w:r>
              <w:rPr>
                <w:sz w:val="20"/>
              </w:rPr>
              <w:t>Admin expense savings</w:t>
            </w:r>
          </w:p>
        </w:tc>
        <w:tc>
          <w:tcPr>
            <w:tcW w:w="2448" w:type="dxa"/>
            <w:shd w:val="clear" w:color="auto" w:fill="F2F2F2"/>
            <w:vAlign w:val="center"/>
          </w:tcPr>
          <w:p w:rsidR="004E6834" w:rsidRDefault="006836CB">
            <w:pPr>
              <w:jc w:val="right"/>
            </w:pPr>
            <w:r>
              <w:rPr>
                <w:b/>
                <w:color w:val="1E7B34"/>
                <w:sz w:val="20"/>
              </w:rPr>
              <w:t>+1,292,961</w:t>
            </w:r>
          </w:p>
        </w:tc>
        <w:tc>
          <w:tcPr>
            <w:tcW w:w="3168" w:type="dxa"/>
            <w:shd w:val="clear" w:color="auto" w:fill="F2F2F2"/>
            <w:vAlign w:val="center"/>
          </w:tcPr>
          <w:p w:rsidR="004E6834" w:rsidRDefault="006836CB">
            <w:pPr>
              <w:jc w:val="center"/>
            </w:pPr>
            <w:r>
              <w:rPr>
                <w:b/>
                <w:color w:val="1E7B34"/>
                <w:sz w:val="20"/>
              </w:rPr>
              <w:t>Favourable ▲</w:t>
            </w:r>
          </w:p>
        </w:tc>
      </w:tr>
      <w:tr w:rsidR="004E6834">
        <w:trPr>
          <w:jc w:val="center"/>
        </w:trPr>
        <w:tc>
          <w:tcPr>
            <w:tcW w:w="5040" w:type="dxa"/>
            <w:shd w:val="clear" w:color="auto" w:fill="FFFFFF"/>
            <w:vAlign w:val="center"/>
          </w:tcPr>
          <w:p w:rsidR="004E6834" w:rsidRDefault="006836CB">
            <w:r>
              <w:rPr>
                <w:sz w:val="20"/>
              </w:rPr>
              <w:t>Selling &amp; distribution savings</w:t>
            </w:r>
          </w:p>
        </w:tc>
        <w:tc>
          <w:tcPr>
            <w:tcW w:w="2448" w:type="dxa"/>
            <w:shd w:val="clear" w:color="auto" w:fill="FFFFFF"/>
            <w:vAlign w:val="center"/>
          </w:tcPr>
          <w:p w:rsidR="004E6834" w:rsidRDefault="006836CB">
            <w:pPr>
              <w:jc w:val="right"/>
            </w:pPr>
            <w:r>
              <w:rPr>
                <w:b/>
                <w:color w:val="1E7B34"/>
                <w:sz w:val="20"/>
              </w:rPr>
              <w:t>+375,864</w:t>
            </w:r>
          </w:p>
        </w:tc>
        <w:tc>
          <w:tcPr>
            <w:tcW w:w="3168" w:type="dxa"/>
            <w:shd w:val="clear" w:color="auto" w:fill="FFFFFF"/>
            <w:vAlign w:val="center"/>
          </w:tcPr>
          <w:p w:rsidR="004E6834" w:rsidRDefault="006836CB">
            <w:pPr>
              <w:jc w:val="center"/>
            </w:pPr>
            <w:r>
              <w:rPr>
                <w:b/>
                <w:color w:val="1E7B34"/>
                <w:sz w:val="20"/>
              </w:rPr>
              <w:t>Favourable ▲</w:t>
            </w:r>
          </w:p>
        </w:tc>
      </w:tr>
      <w:tr w:rsidR="004E6834">
        <w:trPr>
          <w:jc w:val="center"/>
        </w:trPr>
        <w:tc>
          <w:tcPr>
            <w:tcW w:w="5040" w:type="dxa"/>
            <w:shd w:val="clear" w:color="auto" w:fill="F2F2F2"/>
            <w:vAlign w:val="center"/>
          </w:tcPr>
          <w:p w:rsidR="004E6834" w:rsidRDefault="006836CB">
            <w:r>
              <w:rPr>
                <w:sz w:val="20"/>
              </w:rPr>
              <w:t>Other operating income (above bud)</w:t>
            </w:r>
          </w:p>
        </w:tc>
        <w:tc>
          <w:tcPr>
            <w:tcW w:w="2448" w:type="dxa"/>
            <w:shd w:val="clear" w:color="auto" w:fill="F2F2F2"/>
            <w:vAlign w:val="center"/>
          </w:tcPr>
          <w:p w:rsidR="004E6834" w:rsidRDefault="006836CB">
            <w:pPr>
              <w:jc w:val="right"/>
            </w:pPr>
            <w:r>
              <w:rPr>
                <w:b/>
                <w:color w:val="1E7B34"/>
                <w:sz w:val="20"/>
              </w:rPr>
              <w:t>+462,964</w:t>
            </w:r>
          </w:p>
        </w:tc>
        <w:tc>
          <w:tcPr>
            <w:tcW w:w="3168" w:type="dxa"/>
            <w:shd w:val="clear" w:color="auto" w:fill="F2F2F2"/>
            <w:vAlign w:val="center"/>
          </w:tcPr>
          <w:p w:rsidR="004E6834" w:rsidRDefault="006836CB">
            <w:pPr>
              <w:jc w:val="center"/>
            </w:pPr>
            <w:r>
              <w:rPr>
                <w:b/>
                <w:color w:val="1E7B34"/>
                <w:sz w:val="20"/>
              </w:rPr>
              <w:t>Favourable ▲</w:t>
            </w:r>
          </w:p>
        </w:tc>
      </w:tr>
      <w:tr w:rsidR="004E6834">
        <w:trPr>
          <w:jc w:val="center"/>
        </w:trPr>
        <w:tc>
          <w:tcPr>
            <w:tcW w:w="5040" w:type="dxa"/>
            <w:shd w:val="clear" w:color="auto" w:fill="FFFFFF"/>
            <w:vAlign w:val="center"/>
          </w:tcPr>
          <w:p w:rsidR="004E6834" w:rsidRDefault="006836CB">
            <w:r>
              <w:rPr>
                <w:sz w:val="20"/>
              </w:rPr>
              <w:t>Depreciation savings</w:t>
            </w:r>
          </w:p>
        </w:tc>
        <w:tc>
          <w:tcPr>
            <w:tcW w:w="2448" w:type="dxa"/>
            <w:shd w:val="clear" w:color="auto" w:fill="FFFFFF"/>
            <w:vAlign w:val="center"/>
          </w:tcPr>
          <w:p w:rsidR="004E6834" w:rsidRDefault="006836CB">
            <w:pPr>
              <w:jc w:val="right"/>
            </w:pPr>
            <w:r>
              <w:rPr>
                <w:b/>
                <w:color w:val="1E7B34"/>
                <w:sz w:val="20"/>
              </w:rPr>
              <w:t>+498,759</w:t>
            </w:r>
          </w:p>
        </w:tc>
        <w:tc>
          <w:tcPr>
            <w:tcW w:w="3168" w:type="dxa"/>
            <w:shd w:val="clear" w:color="auto" w:fill="FFFFFF"/>
            <w:vAlign w:val="center"/>
          </w:tcPr>
          <w:p w:rsidR="004E6834" w:rsidRDefault="006836CB">
            <w:pPr>
              <w:jc w:val="center"/>
            </w:pPr>
            <w:r>
              <w:rPr>
                <w:b/>
                <w:color w:val="1E7B34"/>
                <w:sz w:val="20"/>
              </w:rPr>
              <w:t>Favourable ▲</w:t>
            </w:r>
          </w:p>
        </w:tc>
      </w:tr>
      <w:tr w:rsidR="004E6834">
        <w:trPr>
          <w:jc w:val="center"/>
        </w:trPr>
        <w:tc>
          <w:tcPr>
            <w:tcW w:w="5040" w:type="dxa"/>
            <w:shd w:val="clear" w:color="auto" w:fill="F2F2F2"/>
            <w:vAlign w:val="center"/>
          </w:tcPr>
          <w:p w:rsidR="004E6834" w:rsidRDefault="006836CB">
            <w:r>
              <w:rPr>
                <w:sz w:val="20"/>
              </w:rPr>
              <w:t>Finance cost savings</w:t>
            </w:r>
          </w:p>
        </w:tc>
        <w:tc>
          <w:tcPr>
            <w:tcW w:w="2448" w:type="dxa"/>
            <w:shd w:val="clear" w:color="auto" w:fill="F2F2F2"/>
            <w:vAlign w:val="center"/>
          </w:tcPr>
          <w:p w:rsidR="004E6834" w:rsidRDefault="006836CB">
            <w:pPr>
              <w:jc w:val="right"/>
            </w:pPr>
            <w:r>
              <w:rPr>
                <w:b/>
                <w:color w:val="1E7B34"/>
                <w:sz w:val="20"/>
              </w:rPr>
              <w:t>+130,911</w:t>
            </w:r>
          </w:p>
        </w:tc>
        <w:tc>
          <w:tcPr>
            <w:tcW w:w="3168" w:type="dxa"/>
            <w:shd w:val="clear" w:color="auto" w:fill="F2F2F2"/>
            <w:vAlign w:val="center"/>
          </w:tcPr>
          <w:p w:rsidR="004E6834" w:rsidRDefault="006836CB">
            <w:pPr>
              <w:jc w:val="center"/>
            </w:pPr>
            <w:r>
              <w:rPr>
                <w:b/>
                <w:color w:val="1E7B34"/>
                <w:sz w:val="20"/>
              </w:rPr>
              <w:t>Favourable ▲</w:t>
            </w:r>
          </w:p>
        </w:tc>
      </w:tr>
      <w:tr w:rsidR="004E6834">
        <w:trPr>
          <w:jc w:val="center"/>
        </w:trPr>
        <w:tc>
          <w:tcPr>
            <w:tcW w:w="5040" w:type="dxa"/>
            <w:shd w:val="clear" w:color="auto" w:fill="FFFFFF"/>
            <w:vAlign w:val="center"/>
          </w:tcPr>
          <w:p w:rsidR="004E6834" w:rsidRDefault="006836CB">
            <w:r>
              <w:rPr>
                <w:sz w:val="20"/>
              </w:rPr>
              <w:t>Other operating expenses (excess)</w:t>
            </w:r>
          </w:p>
        </w:tc>
        <w:tc>
          <w:tcPr>
            <w:tcW w:w="2448" w:type="dxa"/>
            <w:shd w:val="clear" w:color="auto" w:fill="FFFFFF"/>
            <w:vAlign w:val="center"/>
          </w:tcPr>
          <w:p w:rsidR="004E6834" w:rsidRDefault="006836CB">
            <w:pPr>
              <w:jc w:val="right"/>
            </w:pPr>
            <w:r>
              <w:rPr>
                <w:b/>
                <w:color w:val="C00000"/>
                <w:sz w:val="20"/>
              </w:rPr>
              <w:t>(1,282,029)</w:t>
            </w:r>
          </w:p>
        </w:tc>
        <w:tc>
          <w:tcPr>
            <w:tcW w:w="3168" w:type="dxa"/>
            <w:shd w:val="clear" w:color="auto" w:fill="FFFFFF"/>
            <w:vAlign w:val="center"/>
          </w:tcPr>
          <w:p w:rsidR="004E6834" w:rsidRDefault="006836CB">
            <w:pPr>
              <w:jc w:val="center"/>
            </w:pPr>
            <w:r>
              <w:rPr>
                <w:b/>
                <w:color w:val="C00000"/>
                <w:sz w:val="20"/>
              </w:rPr>
              <w:t>Unfavourable ▼</w:t>
            </w:r>
          </w:p>
        </w:tc>
      </w:tr>
      <w:tr w:rsidR="004E6834">
        <w:trPr>
          <w:jc w:val="center"/>
        </w:trPr>
        <w:tc>
          <w:tcPr>
            <w:tcW w:w="5040" w:type="dxa"/>
            <w:shd w:val="clear" w:color="auto" w:fill="1F3864"/>
            <w:vAlign w:val="center"/>
          </w:tcPr>
          <w:p w:rsidR="004E6834" w:rsidRDefault="006836CB">
            <w:r>
              <w:rPr>
                <w:b/>
                <w:color w:val="FFFFFF"/>
                <w:sz w:val="20"/>
              </w:rPr>
              <w:t>ACTUAL PBT</w:t>
            </w:r>
          </w:p>
        </w:tc>
        <w:tc>
          <w:tcPr>
            <w:tcW w:w="2448" w:type="dxa"/>
            <w:shd w:val="clear" w:color="auto" w:fill="1F3864"/>
            <w:vAlign w:val="center"/>
          </w:tcPr>
          <w:p w:rsidR="004E6834" w:rsidRDefault="006836CB">
            <w:pPr>
              <w:jc w:val="right"/>
            </w:pPr>
            <w:r>
              <w:rPr>
                <w:b/>
                <w:color w:val="FFFFFF"/>
                <w:sz w:val="20"/>
              </w:rPr>
              <w:t>1,523,816</w:t>
            </w:r>
          </w:p>
        </w:tc>
        <w:tc>
          <w:tcPr>
            <w:tcW w:w="3168" w:type="dxa"/>
            <w:shd w:val="clear" w:color="auto" w:fill="1F3864"/>
            <w:vAlign w:val="center"/>
          </w:tcPr>
          <w:p w:rsidR="004E6834" w:rsidRDefault="006836CB">
            <w:pPr>
              <w:jc w:val="center"/>
            </w:pPr>
            <w:r>
              <w:rPr>
                <w:b/>
                <w:color w:val="FFFFFF"/>
                <w:sz w:val="20"/>
              </w:rPr>
              <w:t>13.4% margin</w:t>
            </w:r>
          </w:p>
        </w:tc>
      </w:tr>
    </w:tbl>
    <w:p w:rsidR="004E6834" w:rsidRDefault="006836CB">
      <w:r>
        <w:br w:type="page"/>
      </w:r>
    </w:p>
    <w:p w:rsidR="004E6834" w:rsidRDefault="006836CB">
      <w:pPr>
        <w:pBdr>
          <w:bottom w:val="single" w:sz="12" w:space="1" w:color="2E75B6"/>
        </w:pBdr>
        <w:spacing w:before="360" w:after="120"/>
      </w:pPr>
      <w:r>
        <w:rPr>
          <w:b/>
          <w:color w:val="1F3864"/>
          <w:sz w:val="32"/>
        </w:rPr>
        <w:lastRenderedPageBreak/>
        <w:t>7.  KEY HOTEL PERFORMANCE INDICATORS</w:t>
      </w:r>
    </w:p>
    <w:p w:rsidR="004E6834" w:rsidRDefault="006836CB">
      <w:pPr>
        <w:spacing w:before="240" w:after="80"/>
      </w:pPr>
      <w:r>
        <w:rPr>
          <w:b/>
          <w:color w:val="2E75B6"/>
          <w:sz w:val="26"/>
        </w:rPr>
        <w:t>7.1  Occupancy</w:t>
      </w:r>
    </w:p>
    <w:p w:rsidR="004E6834" w:rsidRDefault="006836CB">
      <w:pPr>
        <w:spacing w:after="120"/>
      </w:pPr>
      <w:r>
        <w:t xml:space="preserve">Group occupancy for Q1 2026 averaged </w:t>
      </w:r>
      <w:r>
        <w:rPr>
          <w:b/>
          <w:color w:val="1F3864"/>
        </w:rPr>
        <w:t xml:space="preserve">52%, </w:t>
      </w:r>
      <w:r>
        <w:t xml:space="preserve">below the annual target of 59% and SPLY of 57%. However, the quarter showed a compelling recovery: January at 37.4% → February at 52.2% → </w:t>
      </w:r>
      <w:r>
        <w:rPr>
          <w:b/>
          <w:color w:val="1E7B34"/>
        </w:rPr>
        <w:t xml:space="preserve">March at 59.0% (matching the annual target exactly). </w:t>
      </w:r>
      <w:r>
        <w:t>This progressive recovery demonstrates the Group's commercial agility in rebuilding occupancy as the year progresses, with confidence that Q2 and Q3 will consolidate the March-level performance.</w:t>
      </w:r>
    </w:p>
    <w:p w:rsidR="004E6834" w:rsidRDefault="006836CB">
      <w:pPr>
        <w:spacing w:before="240" w:after="80"/>
      </w:pPr>
      <w:r>
        <w:rPr>
          <w:b/>
          <w:color w:val="2E75B6"/>
          <w:sz w:val="26"/>
        </w:rPr>
        <w:t>7.2  Average Daily Rate (ADR)</w:t>
      </w:r>
    </w:p>
    <w:p w:rsidR="004E6834" w:rsidRDefault="006836CB">
      <w:pPr>
        <w:spacing w:after="120"/>
      </w:pPr>
      <w:r>
        <w:t xml:space="preserve">The Group's YTD ADR of </w:t>
      </w:r>
      <w:r>
        <w:rPr>
          <w:b/>
          <w:color w:val="1F3864"/>
        </w:rPr>
        <w:t xml:space="preserve">US$111.53 </w:t>
      </w:r>
      <w:r>
        <w:t xml:space="preserve">was only US$0.47 below the annual target of US$112.00 and comfortably above SPLY of US$109.00 — a </w:t>
      </w:r>
      <w:r>
        <w:rPr>
          <w:b/>
          <w:color w:val="1E7B34"/>
        </w:rPr>
        <w:t xml:space="preserve">+2.3% year-on-year improvement. </w:t>
      </w:r>
      <w:r>
        <w:t>January delivered the strongest monthly ADR at US$114.47 (above target), with February at US$108.59 and March recovering to US$110.00. ADR improvement over SPLY was achieved through disciplined rate management, reduced discounting to lower-yield segments, and a strategic pivot toward higher-value international and corporate clients.</w:t>
      </w:r>
    </w:p>
    <w:p w:rsidR="004E6834" w:rsidRDefault="006836CB">
      <w:pPr>
        <w:spacing w:before="240" w:after="80"/>
      </w:pPr>
      <w:r>
        <w:rPr>
          <w:b/>
          <w:color w:val="2E75B6"/>
          <w:sz w:val="26"/>
        </w:rPr>
        <w:t>7.3  RevPAR</w:t>
      </w:r>
    </w:p>
    <w:p w:rsidR="004E6834" w:rsidRDefault="006836CB">
      <w:pPr>
        <w:spacing w:after="120"/>
      </w:pPr>
      <w:r>
        <w:t xml:space="preserve">RevPAR for Q1 2026 averaged </w:t>
      </w:r>
      <w:r>
        <w:rPr>
          <w:b/>
          <w:color w:val="1F3864"/>
        </w:rPr>
        <w:t xml:space="preserve">US$49.74 </w:t>
      </w:r>
      <w:r>
        <w:t xml:space="preserve">against a target of US$66.08 and SPLY of US$57.45. The −24.7% gap to target is primarily a function of the January occupancy shortfall (37.4% vs 59%). </w:t>
      </w:r>
      <w:r>
        <w:rPr>
          <w:b/>
          <w:color w:val="1E7B34"/>
        </w:rPr>
        <w:t xml:space="preserve">March 2026 RevPAR of US$64.90 </w:t>
      </w:r>
      <w:r>
        <w:t>is near-target, confirming that once occupancy reaches normalised levels, pricing strategy delivers on RevPAR expectations.</w:t>
      </w:r>
    </w:p>
    <w:tbl>
      <w:tblPr>
        <w:tblStyle w:val="TableGrid"/>
        <w:tblW w:w="0" w:type="auto"/>
        <w:jc w:val="center"/>
        <w:tblLook w:val="04A0" w:firstRow="1" w:lastRow="0" w:firstColumn="1" w:lastColumn="0" w:noHBand="0" w:noVBand="1"/>
      </w:tblPr>
      <w:tblGrid>
        <w:gridCol w:w="2190"/>
        <w:gridCol w:w="1213"/>
        <w:gridCol w:w="1214"/>
        <w:gridCol w:w="1214"/>
        <w:gridCol w:w="1217"/>
        <w:gridCol w:w="1321"/>
        <w:gridCol w:w="1207"/>
      </w:tblGrid>
      <w:tr w:rsidR="004E6834">
        <w:trPr>
          <w:jc w:val="center"/>
        </w:trPr>
        <w:tc>
          <w:tcPr>
            <w:tcW w:w="2448" w:type="dxa"/>
            <w:shd w:val="clear" w:color="auto" w:fill="1F3864"/>
            <w:vAlign w:val="center"/>
          </w:tcPr>
          <w:p w:rsidR="004E6834" w:rsidRDefault="006836CB">
            <w:pPr>
              <w:jc w:val="center"/>
            </w:pPr>
            <w:r>
              <w:rPr>
                <w:b/>
                <w:color w:val="FFFFFF"/>
                <w:sz w:val="20"/>
              </w:rPr>
              <w:t>KPI</w:t>
            </w:r>
          </w:p>
        </w:tc>
        <w:tc>
          <w:tcPr>
            <w:tcW w:w="1296" w:type="dxa"/>
            <w:shd w:val="clear" w:color="auto" w:fill="1F3864"/>
            <w:vAlign w:val="center"/>
          </w:tcPr>
          <w:p w:rsidR="004E6834" w:rsidRDefault="006836CB">
            <w:pPr>
              <w:jc w:val="center"/>
            </w:pPr>
            <w:r>
              <w:rPr>
                <w:b/>
                <w:color w:val="FFFFFF"/>
                <w:sz w:val="20"/>
              </w:rPr>
              <w:t>Jan 2026</w:t>
            </w:r>
          </w:p>
        </w:tc>
        <w:tc>
          <w:tcPr>
            <w:tcW w:w="1296" w:type="dxa"/>
            <w:shd w:val="clear" w:color="auto" w:fill="1F3864"/>
            <w:vAlign w:val="center"/>
          </w:tcPr>
          <w:p w:rsidR="004E6834" w:rsidRDefault="006836CB">
            <w:pPr>
              <w:jc w:val="center"/>
            </w:pPr>
            <w:r>
              <w:rPr>
                <w:b/>
                <w:color w:val="FFFFFF"/>
                <w:sz w:val="20"/>
              </w:rPr>
              <w:t>Feb 2026</w:t>
            </w:r>
          </w:p>
        </w:tc>
        <w:tc>
          <w:tcPr>
            <w:tcW w:w="1296" w:type="dxa"/>
            <w:shd w:val="clear" w:color="auto" w:fill="1F3864"/>
            <w:vAlign w:val="center"/>
          </w:tcPr>
          <w:p w:rsidR="004E6834" w:rsidRDefault="006836CB">
            <w:pPr>
              <w:jc w:val="center"/>
            </w:pPr>
            <w:r>
              <w:rPr>
                <w:b/>
                <w:color w:val="FFFFFF"/>
                <w:sz w:val="20"/>
              </w:rPr>
              <w:t>Mar 2026</w:t>
            </w:r>
          </w:p>
        </w:tc>
        <w:tc>
          <w:tcPr>
            <w:tcW w:w="1296" w:type="dxa"/>
            <w:shd w:val="clear" w:color="auto" w:fill="1F3864"/>
            <w:vAlign w:val="center"/>
          </w:tcPr>
          <w:p w:rsidR="004E6834" w:rsidRDefault="006836CB">
            <w:pPr>
              <w:jc w:val="center"/>
            </w:pPr>
            <w:r>
              <w:rPr>
                <w:b/>
                <w:color w:val="FFFFFF"/>
                <w:sz w:val="20"/>
              </w:rPr>
              <w:t>YTD 2026</w:t>
            </w:r>
          </w:p>
        </w:tc>
        <w:tc>
          <w:tcPr>
            <w:tcW w:w="1440" w:type="dxa"/>
            <w:shd w:val="clear" w:color="auto" w:fill="1F3864"/>
            <w:vAlign w:val="center"/>
          </w:tcPr>
          <w:p w:rsidR="004E6834" w:rsidRDefault="006836CB">
            <w:pPr>
              <w:jc w:val="center"/>
            </w:pPr>
            <w:r>
              <w:rPr>
                <w:b/>
                <w:color w:val="FFFFFF"/>
                <w:sz w:val="20"/>
              </w:rPr>
              <w:t>Target 2026</w:t>
            </w:r>
          </w:p>
        </w:tc>
        <w:tc>
          <w:tcPr>
            <w:tcW w:w="1296" w:type="dxa"/>
            <w:shd w:val="clear" w:color="auto" w:fill="1F3864"/>
            <w:vAlign w:val="center"/>
          </w:tcPr>
          <w:p w:rsidR="004E6834" w:rsidRDefault="006836CB">
            <w:pPr>
              <w:jc w:val="center"/>
            </w:pPr>
            <w:r>
              <w:rPr>
                <w:b/>
                <w:color w:val="FFFFFF"/>
                <w:sz w:val="20"/>
              </w:rPr>
              <w:t>SPLY 2025</w:t>
            </w:r>
          </w:p>
        </w:tc>
      </w:tr>
      <w:tr w:rsidR="004E6834">
        <w:trPr>
          <w:jc w:val="center"/>
        </w:trPr>
        <w:tc>
          <w:tcPr>
            <w:tcW w:w="2448" w:type="dxa"/>
            <w:shd w:val="clear" w:color="auto" w:fill="F2F2F2"/>
            <w:vAlign w:val="center"/>
          </w:tcPr>
          <w:p w:rsidR="004E6834" w:rsidRDefault="006836CB">
            <w:r>
              <w:rPr>
                <w:b/>
                <w:sz w:val="20"/>
              </w:rPr>
              <w:t>Occupancy</w:t>
            </w:r>
          </w:p>
        </w:tc>
        <w:tc>
          <w:tcPr>
            <w:tcW w:w="1296" w:type="dxa"/>
            <w:shd w:val="clear" w:color="auto" w:fill="F2F2F2"/>
            <w:vAlign w:val="center"/>
          </w:tcPr>
          <w:p w:rsidR="004E6834" w:rsidRDefault="006836CB">
            <w:pPr>
              <w:jc w:val="center"/>
            </w:pPr>
            <w:r>
              <w:rPr>
                <w:sz w:val="20"/>
              </w:rPr>
              <w:t>37.4%</w:t>
            </w:r>
          </w:p>
        </w:tc>
        <w:tc>
          <w:tcPr>
            <w:tcW w:w="1296" w:type="dxa"/>
            <w:shd w:val="clear" w:color="auto" w:fill="F2F2F2"/>
            <w:vAlign w:val="center"/>
          </w:tcPr>
          <w:p w:rsidR="004E6834" w:rsidRDefault="006836CB">
            <w:pPr>
              <w:jc w:val="center"/>
            </w:pPr>
            <w:r>
              <w:rPr>
                <w:sz w:val="20"/>
              </w:rPr>
              <w:t>52.2%</w:t>
            </w:r>
          </w:p>
        </w:tc>
        <w:tc>
          <w:tcPr>
            <w:tcW w:w="1296" w:type="dxa"/>
            <w:shd w:val="clear" w:color="auto" w:fill="F2F2F2"/>
            <w:vAlign w:val="center"/>
          </w:tcPr>
          <w:p w:rsidR="004E6834" w:rsidRDefault="006836CB">
            <w:pPr>
              <w:jc w:val="center"/>
            </w:pPr>
            <w:r>
              <w:rPr>
                <w:b/>
                <w:color w:val="1E7B34"/>
                <w:sz w:val="20"/>
              </w:rPr>
              <w:t>59.0%</w:t>
            </w:r>
          </w:p>
        </w:tc>
        <w:tc>
          <w:tcPr>
            <w:tcW w:w="1296" w:type="dxa"/>
            <w:shd w:val="clear" w:color="auto" w:fill="F2F2F2"/>
            <w:vAlign w:val="center"/>
          </w:tcPr>
          <w:p w:rsidR="004E6834" w:rsidRDefault="006836CB">
            <w:pPr>
              <w:jc w:val="center"/>
            </w:pPr>
            <w:r>
              <w:rPr>
                <w:sz w:val="20"/>
              </w:rPr>
              <w:t>52.0%</w:t>
            </w:r>
          </w:p>
        </w:tc>
        <w:tc>
          <w:tcPr>
            <w:tcW w:w="1440" w:type="dxa"/>
            <w:shd w:val="clear" w:color="auto" w:fill="F2F2F2"/>
            <w:vAlign w:val="center"/>
          </w:tcPr>
          <w:p w:rsidR="004E6834" w:rsidRDefault="006836CB">
            <w:pPr>
              <w:jc w:val="center"/>
            </w:pPr>
            <w:r>
              <w:rPr>
                <w:sz w:val="20"/>
              </w:rPr>
              <w:t>59.0%</w:t>
            </w:r>
          </w:p>
        </w:tc>
        <w:tc>
          <w:tcPr>
            <w:tcW w:w="1296" w:type="dxa"/>
            <w:shd w:val="clear" w:color="auto" w:fill="F2F2F2"/>
            <w:vAlign w:val="center"/>
          </w:tcPr>
          <w:p w:rsidR="004E6834" w:rsidRDefault="006836CB">
            <w:pPr>
              <w:jc w:val="center"/>
            </w:pPr>
            <w:r>
              <w:rPr>
                <w:sz w:val="20"/>
              </w:rPr>
              <w:t>57.0%</w:t>
            </w:r>
          </w:p>
        </w:tc>
      </w:tr>
      <w:tr w:rsidR="004E6834">
        <w:trPr>
          <w:jc w:val="center"/>
        </w:trPr>
        <w:tc>
          <w:tcPr>
            <w:tcW w:w="2448" w:type="dxa"/>
            <w:shd w:val="clear" w:color="auto" w:fill="FFFFFF"/>
            <w:vAlign w:val="center"/>
          </w:tcPr>
          <w:p w:rsidR="004E6834" w:rsidRDefault="006836CB">
            <w:r>
              <w:rPr>
                <w:b/>
                <w:sz w:val="20"/>
              </w:rPr>
              <w:t>ADR (US$)</w:t>
            </w:r>
          </w:p>
        </w:tc>
        <w:tc>
          <w:tcPr>
            <w:tcW w:w="1296" w:type="dxa"/>
            <w:shd w:val="clear" w:color="auto" w:fill="FFFFFF"/>
            <w:vAlign w:val="center"/>
          </w:tcPr>
          <w:p w:rsidR="004E6834" w:rsidRDefault="006836CB">
            <w:pPr>
              <w:jc w:val="center"/>
            </w:pPr>
            <w:r>
              <w:rPr>
                <w:sz w:val="20"/>
              </w:rPr>
              <w:t>114.47</w:t>
            </w:r>
          </w:p>
        </w:tc>
        <w:tc>
          <w:tcPr>
            <w:tcW w:w="1296" w:type="dxa"/>
            <w:shd w:val="clear" w:color="auto" w:fill="FFFFFF"/>
            <w:vAlign w:val="center"/>
          </w:tcPr>
          <w:p w:rsidR="004E6834" w:rsidRDefault="006836CB">
            <w:pPr>
              <w:jc w:val="center"/>
            </w:pPr>
            <w:r>
              <w:rPr>
                <w:sz w:val="20"/>
              </w:rPr>
              <w:t>108.59</w:t>
            </w:r>
          </w:p>
        </w:tc>
        <w:tc>
          <w:tcPr>
            <w:tcW w:w="1296" w:type="dxa"/>
            <w:shd w:val="clear" w:color="auto" w:fill="FFFFFF"/>
            <w:vAlign w:val="center"/>
          </w:tcPr>
          <w:p w:rsidR="004E6834" w:rsidRDefault="006836CB">
            <w:pPr>
              <w:jc w:val="center"/>
            </w:pPr>
            <w:r>
              <w:rPr>
                <w:sz w:val="20"/>
              </w:rPr>
              <w:t>110.00</w:t>
            </w:r>
          </w:p>
        </w:tc>
        <w:tc>
          <w:tcPr>
            <w:tcW w:w="1296" w:type="dxa"/>
            <w:shd w:val="clear" w:color="auto" w:fill="FFFFFF"/>
            <w:vAlign w:val="center"/>
          </w:tcPr>
          <w:p w:rsidR="004E6834" w:rsidRDefault="006836CB">
            <w:pPr>
              <w:jc w:val="center"/>
            </w:pPr>
            <w:r>
              <w:rPr>
                <w:sz w:val="20"/>
              </w:rPr>
              <w:t>111.53</w:t>
            </w:r>
          </w:p>
        </w:tc>
        <w:tc>
          <w:tcPr>
            <w:tcW w:w="1440" w:type="dxa"/>
            <w:shd w:val="clear" w:color="auto" w:fill="FFFFFF"/>
            <w:vAlign w:val="center"/>
          </w:tcPr>
          <w:p w:rsidR="004E6834" w:rsidRDefault="006836CB">
            <w:pPr>
              <w:jc w:val="center"/>
            </w:pPr>
            <w:r>
              <w:rPr>
                <w:sz w:val="20"/>
              </w:rPr>
              <w:t>112.00</w:t>
            </w:r>
          </w:p>
        </w:tc>
        <w:tc>
          <w:tcPr>
            <w:tcW w:w="1296" w:type="dxa"/>
            <w:shd w:val="clear" w:color="auto" w:fill="FFFFFF"/>
            <w:vAlign w:val="center"/>
          </w:tcPr>
          <w:p w:rsidR="004E6834" w:rsidRDefault="006836CB">
            <w:pPr>
              <w:jc w:val="center"/>
            </w:pPr>
            <w:r>
              <w:rPr>
                <w:sz w:val="20"/>
              </w:rPr>
              <w:t>109.00</w:t>
            </w:r>
          </w:p>
        </w:tc>
      </w:tr>
      <w:tr w:rsidR="004E6834">
        <w:trPr>
          <w:jc w:val="center"/>
        </w:trPr>
        <w:tc>
          <w:tcPr>
            <w:tcW w:w="2448" w:type="dxa"/>
            <w:shd w:val="clear" w:color="auto" w:fill="F2F2F2"/>
            <w:vAlign w:val="center"/>
          </w:tcPr>
          <w:p w:rsidR="004E6834" w:rsidRDefault="006836CB">
            <w:r>
              <w:rPr>
                <w:b/>
                <w:sz w:val="20"/>
              </w:rPr>
              <w:t>RevPAR (US$)</w:t>
            </w:r>
          </w:p>
        </w:tc>
        <w:tc>
          <w:tcPr>
            <w:tcW w:w="1296" w:type="dxa"/>
            <w:shd w:val="clear" w:color="auto" w:fill="F2F2F2"/>
            <w:vAlign w:val="center"/>
          </w:tcPr>
          <w:p w:rsidR="004E6834" w:rsidRDefault="006836CB">
            <w:pPr>
              <w:jc w:val="center"/>
            </w:pPr>
            <w:r>
              <w:rPr>
                <w:sz w:val="20"/>
              </w:rPr>
              <w:t>42.80</w:t>
            </w:r>
          </w:p>
        </w:tc>
        <w:tc>
          <w:tcPr>
            <w:tcW w:w="1296" w:type="dxa"/>
            <w:shd w:val="clear" w:color="auto" w:fill="F2F2F2"/>
            <w:vAlign w:val="center"/>
          </w:tcPr>
          <w:p w:rsidR="004E6834" w:rsidRDefault="006836CB">
            <w:pPr>
              <w:jc w:val="center"/>
            </w:pPr>
            <w:r>
              <w:rPr>
                <w:sz w:val="20"/>
              </w:rPr>
              <w:t>56.69</w:t>
            </w:r>
          </w:p>
        </w:tc>
        <w:tc>
          <w:tcPr>
            <w:tcW w:w="1296" w:type="dxa"/>
            <w:shd w:val="clear" w:color="auto" w:fill="F2F2F2"/>
            <w:vAlign w:val="center"/>
          </w:tcPr>
          <w:p w:rsidR="004E6834" w:rsidRDefault="006836CB">
            <w:pPr>
              <w:jc w:val="center"/>
            </w:pPr>
            <w:r>
              <w:rPr>
                <w:b/>
                <w:color w:val="1E7B34"/>
                <w:sz w:val="20"/>
              </w:rPr>
              <w:t>64.90</w:t>
            </w:r>
          </w:p>
        </w:tc>
        <w:tc>
          <w:tcPr>
            <w:tcW w:w="1296" w:type="dxa"/>
            <w:shd w:val="clear" w:color="auto" w:fill="F2F2F2"/>
            <w:vAlign w:val="center"/>
          </w:tcPr>
          <w:p w:rsidR="004E6834" w:rsidRDefault="006836CB">
            <w:pPr>
              <w:jc w:val="center"/>
            </w:pPr>
            <w:r>
              <w:rPr>
                <w:sz w:val="20"/>
              </w:rPr>
              <w:t>49.74</w:t>
            </w:r>
          </w:p>
        </w:tc>
        <w:tc>
          <w:tcPr>
            <w:tcW w:w="1440" w:type="dxa"/>
            <w:shd w:val="clear" w:color="auto" w:fill="F2F2F2"/>
            <w:vAlign w:val="center"/>
          </w:tcPr>
          <w:p w:rsidR="004E6834" w:rsidRDefault="006836CB">
            <w:pPr>
              <w:jc w:val="center"/>
            </w:pPr>
            <w:r>
              <w:rPr>
                <w:sz w:val="20"/>
              </w:rPr>
              <w:t>66.08</w:t>
            </w:r>
          </w:p>
        </w:tc>
        <w:tc>
          <w:tcPr>
            <w:tcW w:w="1296" w:type="dxa"/>
            <w:shd w:val="clear" w:color="auto" w:fill="F2F2F2"/>
            <w:vAlign w:val="center"/>
          </w:tcPr>
          <w:p w:rsidR="004E6834" w:rsidRDefault="006836CB">
            <w:pPr>
              <w:jc w:val="center"/>
            </w:pPr>
            <w:r>
              <w:rPr>
                <w:sz w:val="20"/>
              </w:rPr>
              <w:t>57.45</w:t>
            </w:r>
          </w:p>
        </w:tc>
      </w:tr>
      <w:tr w:rsidR="004E6834">
        <w:trPr>
          <w:jc w:val="center"/>
        </w:trPr>
        <w:tc>
          <w:tcPr>
            <w:tcW w:w="2448" w:type="dxa"/>
            <w:shd w:val="clear" w:color="auto" w:fill="FFFFFF"/>
            <w:vAlign w:val="center"/>
          </w:tcPr>
          <w:p w:rsidR="004E6834" w:rsidRDefault="006836CB">
            <w:r>
              <w:rPr>
                <w:b/>
                <w:sz w:val="20"/>
              </w:rPr>
              <w:t>Revenue (US$m)</w:t>
            </w:r>
          </w:p>
        </w:tc>
        <w:tc>
          <w:tcPr>
            <w:tcW w:w="1296" w:type="dxa"/>
            <w:shd w:val="clear" w:color="auto" w:fill="FFFFFF"/>
            <w:vAlign w:val="center"/>
          </w:tcPr>
          <w:p w:rsidR="004E6834" w:rsidRDefault="006836CB">
            <w:pPr>
              <w:jc w:val="center"/>
            </w:pPr>
            <w:r>
              <w:rPr>
                <w:sz w:val="20"/>
              </w:rPr>
              <w:t>~2.97m</w:t>
            </w:r>
          </w:p>
        </w:tc>
        <w:tc>
          <w:tcPr>
            <w:tcW w:w="1296" w:type="dxa"/>
            <w:shd w:val="clear" w:color="auto" w:fill="FFFFFF"/>
            <w:vAlign w:val="center"/>
          </w:tcPr>
          <w:p w:rsidR="004E6834" w:rsidRDefault="006836CB">
            <w:pPr>
              <w:jc w:val="center"/>
            </w:pPr>
            <w:r>
              <w:rPr>
                <w:sz w:val="20"/>
              </w:rPr>
              <w:t>~3.62m</w:t>
            </w:r>
          </w:p>
        </w:tc>
        <w:tc>
          <w:tcPr>
            <w:tcW w:w="1296" w:type="dxa"/>
            <w:shd w:val="clear" w:color="auto" w:fill="FFFFFF"/>
            <w:vAlign w:val="center"/>
          </w:tcPr>
          <w:p w:rsidR="004E6834" w:rsidRDefault="006836CB">
            <w:pPr>
              <w:jc w:val="center"/>
            </w:pPr>
            <w:r>
              <w:rPr>
                <w:sz w:val="20"/>
              </w:rPr>
              <w:t>~4.82m</w:t>
            </w:r>
          </w:p>
        </w:tc>
        <w:tc>
          <w:tcPr>
            <w:tcW w:w="1296" w:type="dxa"/>
            <w:shd w:val="clear" w:color="auto" w:fill="FFFFFF"/>
            <w:vAlign w:val="center"/>
          </w:tcPr>
          <w:p w:rsidR="004E6834" w:rsidRDefault="006836CB">
            <w:pPr>
              <w:jc w:val="center"/>
            </w:pPr>
            <w:r>
              <w:rPr>
                <w:b/>
                <w:color w:val="1F3864"/>
                <w:sz w:val="20"/>
              </w:rPr>
              <w:t>11.41m</w:t>
            </w:r>
          </w:p>
        </w:tc>
        <w:tc>
          <w:tcPr>
            <w:tcW w:w="1440" w:type="dxa"/>
            <w:shd w:val="clear" w:color="auto" w:fill="FFFFFF"/>
            <w:vAlign w:val="center"/>
          </w:tcPr>
          <w:p w:rsidR="004E6834" w:rsidRDefault="006836CB">
            <w:pPr>
              <w:jc w:val="center"/>
            </w:pPr>
            <w:r>
              <w:rPr>
                <w:sz w:val="20"/>
              </w:rPr>
              <w:t>56.81m p.a.</w:t>
            </w:r>
          </w:p>
        </w:tc>
        <w:tc>
          <w:tcPr>
            <w:tcW w:w="1296" w:type="dxa"/>
            <w:shd w:val="clear" w:color="auto" w:fill="FFFFFF"/>
            <w:vAlign w:val="center"/>
          </w:tcPr>
          <w:p w:rsidR="004E6834" w:rsidRDefault="006836CB">
            <w:pPr>
              <w:jc w:val="center"/>
            </w:pPr>
            <w:r>
              <w:rPr>
                <w:sz w:val="20"/>
              </w:rPr>
              <w:t>50.26m p.a.</w:t>
            </w:r>
          </w:p>
        </w:tc>
      </w:tr>
      <w:tr w:rsidR="004E6834">
        <w:trPr>
          <w:jc w:val="center"/>
        </w:trPr>
        <w:tc>
          <w:tcPr>
            <w:tcW w:w="2448" w:type="dxa"/>
            <w:shd w:val="clear" w:color="auto" w:fill="F2F2F2"/>
            <w:vAlign w:val="center"/>
          </w:tcPr>
          <w:p w:rsidR="004E6834" w:rsidRDefault="006836CB">
            <w:r>
              <w:rPr>
                <w:b/>
                <w:sz w:val="20"/>
              </w:rPr>
              <w:t>Current Ratio</w:t>
            </w:r>
          </w:p>
        </w:tc>
        <w:tc>
          <w:tcPr>
            <w:tcW w:w="1296" w:type="dxa"/>
            <w:shd w:val="clear" w:color="auto" w:fill="F2F2F2"/>
            <w:vAlign w:val="center"/>
          </w:tcPr>
          <w:p w:rsidR="004E6834" w:rsidRDefault="006836CB">
            <w:pPr>
              <w:jc w:val="center"/>
            </w:pPr>
            <w:r>
              <w:rPr>
                <w:sz w:val="20"/>
              </w:rPr>
              <w:t>0.91</w:t>
            </w:r>
          </w:p>
        </w:tc>
        <w:tc>
          <w:tcPr>
            <w:tcW w:w="1296" w:type="dxa"/>
            <w:shd w:val="clear" w:color="auto" w:fill="F2F2F2"/>
            <w:vAlign w:val="center"/>
          </w:tcPr>
          <w:p w:rsidR="004E6834" w:rsidRDefault="006836CB">
            <w:pPr>
              <w:jc w:val="center"/>
            </w:pPr>
            <w:r>
              <w:rPr>
                <w:sz w:val="20"/>
              </w:rPr>
              <w:t>0.82</w:t>
            </w:r>
          </w:p>
        </w:tc>
        <w:tc>
          <w:tcPr>
            <w:tcW w:w="1296" w:type="dxa"/>
            <w:shd w:val="clear" w:color="auto" w:fill="F2F2F2"/>
            <w:vAlign w:val="center"/>
          </w:tcPr>
          <w:p w:rsidR="004E6834" w:rsidRDefault="006836CB">
            <w:pPr>
              <w:jc w:val="center"/>
            </w:pPr>
            <w:r>
              <w:rPr>
                <w:sz w:val="20"/>
              </w:rPr>
              <w:t>0.87</w:t>
            </w:r>
          </w:p>
        </w:tc>
        <w:tc>
          <w:tcPr>
            <w:tcW w:w="1296" w:type="dxa"/>
            <w:shd w:val="clear" w:color="auto" w:fill="F2F2F2"/>
            <w:vAlign w:val="center"/>
          </w:tcPr>
          <w:p w:rsidR="004E6834" w:rsidRDefault="006836CB">
            <w:pPr>
              <w:jc w:val="center"/>
            </w:pPr>
            <w:r>
              <w:rPr>
                <w:sz w:val="20"/>
              </w:rPr>
              <w:t>0.83</w:t>
            </w:r>
          </w:p>
        </w:tc>
        <w:tc>
          <w:tcPr>
            <w:tcW w:w="1440" w:type="dxa"/>
            <w:shd w:val="clear" w:color="auto" w:fill="F2F2F2"/>
            <w:vAlign w:val="center"/>
          </w:tcPr>
          <w:p w:rsidR="004E6834" w:rsidRDefault="006836CB">
            <w:pPr>
              <w:jc w:val="center"/>
            </w:pPr>
            <w:r>
              <w:rPr>
                <w:sz w:val="20"/>
              </w:rPr>
              <w:t>1.35</w:t>
            </w:r>
          </w:p>
        </w:tc>
        <w:tc>
          <w:tcPr>
            <w:tcW w:w="1296" w:type="dxa"/>
            <w:shd w:val="clear" w:color="auto" w:fill="F2F2F2"/>
            <w:vAlign w:val="center"/>
          </w:tcPr>
          <w:p w:rsidR="004E6834" w:rsidRDefault="006836CB">
            <w:pPr>
              <w:jc w:val="center"/>
            </w:pPr>
            <w:r>
              <w:rPr>
                <w:sz w:val="20"/>
              </w:rPr>
              <w:t>0.78</w:t>
            </w:r>
          </w:p>
        </w:tc>
      </w:tr>
      <w:tr w:rsidR="004E6834">
        <w:trPr>
          <w:jc w:val="center"/>
        </w:trPr>
        <w:tc>
          <w:tcPr>
            <w:tcW w:w="2448" w:type="dxa"/>
            <w:shd w:val="clear" w:color="auto" w:fill="FFFFFF"/>
            <w:vAlign w:val="center"/>
          </w:tcPr>
          <w:p w:rsidR="004E6834" w:rsidRDefault="006836CB">
            <w:r>
              <w:rPr>
                <w:b/>
                <w:sz w:val="20"/>
              </w:rPr>
              <w:t>Labour Cost : GP%</w:t>
            </w:r>
          </w:p>
        </w:tc>
        <w:tc>
          <w:tcPr>
            <w:tcW w:w="1296" w:type="dxa"/>
            <w:shd w:val="clear" w:color="auto" w:fill="FFFFFF"/>
            <w:vAlign w:val="center"/>
          </w:tcPr>
          <w:p w:rsidR="004E6834" w:rsidRDefault="006836CB">
            <w:pPr>
              <w:jc w:val="center"/>
            </w:pPr>
            <w:r>
              <w:rPr>
                <w:sz w:val="20"/>
              </w:rPr>
              <w:t>38%</w:t>
            </w:r>
          </w:p>
        </w:tc>
        <w:tc>
          <w:tcPr>
            <w:tcW w:w="1296" w:type="dxa"/>
            <w:shd w:val="clear" w:color="auto" w:fill="FFFFFF"/>
            <w:vAlign w:val="center"/>
          </w:tcPr>
          <w:p w:rsidR="004E6834" w:rsidRDefault="006836CB">
            <w:pPr>
              <w:jc w:val="center"/>
            </w:pPr>
            <w:r>
              <w:rPr>
                <w:sz w:val="20"/>
              </w:rPr>
              <w:t>38%</w:t>
            </w:r>
          </w:p>
        </w:tc>
        <w:tc>
          <w:tcPr>
            <w:tcW w:w="1296" w:type="dxa"/>
            <w:shd w:val="clear" w:color="auto" w:fill="FFFFFF"/>
            <w:vAlign w:val="center"/>
          </w:tcPr>
          <w:p w:rsidR="004E6834" w:rsidRDefault="006836CB">
            <w:pPr>
              <w:jc w:val="center"/>
            </w:pPr>
            <w:r>
              <w:rPr>
                <w:sz w:val="20"/>
              </w:rPr>
              <w:t>37%</w:t>
            </w:r>
          </w:p>
        </w:tc>
        <w:tc>
          <w:tcPr>
            <w:tcW w:w="1296" w:type="dxa"/>
            <w:shd w:val="clear" w:color="auto" w:fill="FFFFFF"/>
            <w:vAlign w:val="center"/>
          </w:tcPr>
          <w:p w:rsidR="004E6834" w:rsidRDefault="006836CB">
            <w:pPr>
              <w:jc w:val="center"/>
            </w:pPr>
            <w:r>
              <w:rPr>
                <w:b/>
                <w:color w:val="1E7B34"/>
                <w:sz w:val="20"/>
              </w:rPr>
              <w:t>38%</w:t>
            </w:r>
          </w:p>
        </w:tc>
        <w:tc>
          <w:tcPr>
            <w:tcW w:w="1440" w:type="dxa"/>
            <w:shd w:val="clear" w:color="auto" w:fill="FFFFFF"/>
            <w:vAlign w:val="center"/>
          </w:tcPr>
          <w:p w:rsidR="004E6834" w:rsidRDefault="006836CB">
            <w:pPr>
              <w:jc w:val="center"/>
            </w:pPr>
            <w:r>
              <w:rPr>
                <w:sz w:val="20"/>
              </w:rPr>
              <w:t>38%</w:t>
            </w:r>
          </w:p>
        </w:tc>
        <w:tc>
          <w:tcPr>
            <w:tcW w:w="1296" w:type="dxa"/>
            <w:shd w:val="clear" w:color="auto" w:fill="FFFFFF"/>
            <w:vAlign w:val="center"/>
          </w:tcPr>
          <w:p w:rsidR="004E6834" w:rsidRDefault="006836CB">
            <w:pPr>
              <w:jc w:val="center"/>
            </w:pPr>
            <w:r>
              <w:rPr>
                <w:sz w:val="20"/>
              </w:rPr>
              <w:t>50%</w:t>
            </w:r>
          </w:p>
        </w:tc>
      </w:tr>
      <w:tr w:rsidR="004E6834">
        <w:trPr>
          <w:jc w:val="center"/>
        </w:trPr>
        <w:tc>
          <w:tcPr>
            <w:tcW w:w="2448" w:type="dxa"/>
            <w:shd w:val="clear" w:color="auto" w:fill="F2F2F2"/>
            <w:vAlign w:val="center"/>
          </w:tcPr>
          <w:p w:rsidR="004E6834" w:rsidRDefault="006836CB">
            <w:r>
              <w:rPr>
                <w:b/>
                <w:sz w:val="20"/>
              </w:rPr>
              <w:t>Gearing Ratio</w:t>
            </w:r>
          </w:p>
        </w:tc>
        <w:tc>
          <w:tcPr>
            <w:tcW w:w="1296" w:type="dxa"/>
            <w:shd w:val="clear" w:color="auto" w:fill="F2F2F2"/>
            <w:vAlign w:val="center"/>
          </w:tcPr>
          <w:p w:rsidR="004E6834" w:rsidRDefault="006836CB">
            <w:pPr>
              <w:jc w:val="center"/>
            </w:pPr>
            <w:r>
              <w:rPr>
                <w:sz w:val="20"/>
              </w:rPr>
              <w:t>0.24</w:t>
            </w:r>
          </w:p>
        </w:tc>
        <w:tc>
          <w:tcPr>
            <w:tcW w:w="1296" w:type="dxa"/>
            <w:shd w:val="clear" w:color="auto" w:fill="F2F2F2"/>
            <w:vAlign w:val="center"/>
          </w:tcPr>
          <w:p w:rsidR="004E6834" w:rsidRDefault="006836CB">
            <w:pPr>
              <w:jc w:val="center"/>
            </w:pPr>
            <w:r>
              <w:rPr>
                <w:sz w:val="20"/>
              </w:rPr>
              <w:t>0.23</w:t>
            </w:r>
          </w:p>
        </w:tc>
        <w:tc>
          <w:tcPr>
            <w:tcW w:w="1296" w:type="dxa"/>
            <w:shd w:val="clear" w:color="auto" w:fill="F2F2F2"/>
            <w:vAlign w:val="center"/>
          </w:tcPr>
          <w:p w:rsidR="004E6834" w:rsidRDefault="006836CB">
            <w:pPr>
              <w:jc w:val="center"/>
            </w:pPr>
            <w:r>
              <w:rPr>
                <w:sz w:val="20"/>
              </w:rPr>
              <w:t>0.22</w:t>
            </w:r>
          </w:p>
        </w:tc>
        <w:tc>
          <w:tcPr>
            <w:tcW w:w="1296" w:type="dxa"/>
            <w:shd w:val="clear" w:color="auto" w:fill="F2F2F2"/>
            <w:vAlign w:val="center"/>
          </w:tcPr>
          <w:p w:rsidR="004E6834" w:rsidRDefault="006836CB">
            <w:pPr>
              <w:jc w:val="center"/>
            </w:pPr>
            <w:r>
              <w:rPr>
                <w:sz w:val="20"/>
              </w:rPr>
              <w:t>0.22</w:t>
            </w:r>
          </w:p>
        </w:tc>
        <w:tc>
          <w:tcPr>
            <w:tcW w:w="1440" w:type="dxa"/>
            <w:shd w:val="clear" w:color="auto" w:fill="F2F2F2"/>
            <w:vAlign w:val="center"/>
          </w:tcPr>
          <w:p w:rsidR="004E6834" w:rsidRDefault="006836CB">
            <w:pPr>
              <w:jc w:val="center"/>
            </w:pPr>
            <w:r>
              <w:rPr>
                <w:sz w:val="20"/>
              </w:rPr>
              <w:t>0.36</w:t>
            </w:r>
          </w:p>
        </w:tc>
        <w:tc>
          <w:tcPr>
            <w:tcW w:w="1296" w:type="dxa"/>
            <w:shd w:val="clear" w:color="auto" w:fill="F2F2F2"/>
            <w:vAlign w:val="center"/>
          </w:tcPr>
          <w:p w:rsidR="004E6834" w:rsidRDefault="006836CB">
            <w:pPr>
              <w:jc w:val="center"/>
            </w:pPr>
            <w:r>
              <w:rPr>
                <w:sz w:val="20"/>
              </w:rPr>
              <w:t>0.23</w:t>
            </w:r>
          </w:p>
        </w:tc>
      </w:tr>
      <w:tr w:rsidR="004E6834">
        <w:trPr>
          <w:jc w:val="center"/>
        </w:trPr>
        <w:tc>
          <w:tcPr>
            <w:tcW w:w="2448" w:type="dxa"/>
            <w:shd w:val="clear" w:color="auto" w:fill="FFFFFF"/>
            <w:vAlign w:val="center"/>
          </w:tcPr>
          <w:p w:rsidR="004E6834" w:rsidRDefault="006836CB">
            <w:r>
              <w:rPr>
                <w:b/>
                <w:sz w:val="20"/>
              </w:rPr>
              <w:t>Debt Collection Days</w:t>
            </w:r>
          </w:p>
        </w:tc>
        <w:tc>
          <w:tcPr>
            <w:tcW w:w="1296" w:type="dxa"/>
            <w:shd w:val="clear" w:color="auto" w:fill="FFFFFF"/>
            <w:vAlign w:val="center"/>
          </w:tcPr>
          <w:p w:rsidR="004E6834" w:rsidRDefault="006836CB">
            <w:pPr>
              <w:jc w:val="center"/>
            </w:pPr>
            <w:r>
              <w:rPr>
                <w:sz w:val="20"/>
              </w:rPr>
              <w:t>60</w:t>
            </w:r>
          </w:p>
        </w:tc>
        <w:tc>
          <w:tcPr>
            <w:tcW w:w="1296" w:type="dxa"/>
            <w:shd w:val="clear" w:color="auto" w:fill="FFFFFF"/>
            <w:vAlign w:val="center"/>
          </w:tcPr>
          <w:p w:rsidR="004E6834" w:rsidRDefault="006836CB">
            <w:pPr>
              <w:jc w:val="center"/>
            </w:pPr>
            <w:r>
              <w:rPr>
                <w:sz w:val="20"/>
              </w:rPr>
              <w:t>68</w:t>
            </w:r>
          </w:p>
        </w:tc>
        <w:tc>
          <w:tcPr>
            <w:tcW w:w="1296" w:type="dxa"/>
            <w:shd w:val="clear" w:color="auto" w:fill="FFFFFF"/>
            <w:vAlign w:val="center"/>
          </w:tcPr>
          <w:p w:rsidR="004E6834" w:rsidRDefault="006836CB">
            <w:pPr>
              <w:jc w:val="center"/>
            </w:pPr>
            <w:r>
              <w:rPr>
                <w:sz w:val="20"/>
              </w:rPr>
              <w:t>58</w:t>
            </w:r>
          </w:p>
        </w:tc>
        <w:tc>
          <w:tcPr>
            <w:tcW w:w="1296" w:type="dxa"/>
            <w:shd w:val="clear" w:color="auto" w:fill="FFFFFF"/>
            <w:vAlign w:val="center"/>
          </w:tcPr>
          <w:p w:rsidR="004E6834" w:rsidRDefault="006836CB">
            <w:pPr>
              <w:jc w:val="center"/>
            </w:pPr>
            <w:r>
              <w:rPr>
                <w:sz w:val="20"/>
              </w:rPr>
              <w:t>64</w:t>
            </w:r>
          </w:p>
        </w:tc>
        <w:tc>
          <w:tcPr>
            <w:tcW w:w="1440" w:type="dxa"/>
            <w:shd w:val="clear" w:color="auto" w:fill="FFFFFF"/>
            <w:vAlign w:val="center"/>
          </w:tcPr>
          <w:p w:rsidR="004E6834" w:rsidRDefault="006836CB">
            <w:pPr>
              <w:jc w:val="center"/>
            </w:pPr>
            <w:r>
              <w:rPr>
                <w:sz w:val="20"/>
              </w:rPr>
              <w:t>33</w:t>
            </w:r>
          </w:p>
        </w:tc>
        <w:tc>
          <w:tcPr>
            <w:tcW w:w="1296" w:type="dxa"/>
            <w:shd w:val="clear" w:color="auto" w:fill="FFFFFF"/>
            <w:vAlign w:val="center"/>
          </w:tcPr>
          <w:p w:rsidR="004E6834" w:rsidRDefault="006836CB">
            <w:pPr>
              <w:jc w:val="center"/>
            </w:pPr>
            <w:r>
              <w:rPr>
                <w:sz w:val="20"/>
              </w:rPr>
              <w:t>110</w:t>
            </w:r>
          </w:p>
        </w:tc>
      </w:tr>
      <w:tr w:rsidR="004E6834">
        <w:trPr>
          <w:jc w:val="center"/>
        </w:trPr>
        <w:tc>
          <w:tcPr>
            <w:tcW w:w="2448" w:type="dxa"/>
            <w:shd w:val="clear" w:color="auto" w:fill="F2F2F2"/>
            <w:vAlign w:val="center"/>
          </w:tcPr>
          <w:p w:rsidR="004E6834" w:rsidRDefault="006836CB">
            <w:r>
              <w:rPr>
                <w:b/>
                <w:sz w:val="20"/>
              </w:rPr>
              <w:t>Creditor Payment Days</w:t>
            </w:r>
          </w:p>
        </w:tc>
        <w:tc>
          <w:tcPr>
            <w:tcW w:w="1296" w:type="dxa"/>
            <w:shd w:val="clear" w:color="auto" w:fill="F2F2F2"/>
            <w:vAlign w:val="center"/>
          </w:tcPr>
          <w:p w:rsidR="004E6834" w:rsidRDefault="006836CB">
            <w:pPr>
              <w:jc w:val="center"/>
            </w:pPr>
            <w:r>
              <w:rPr>
                <w:sz w:val="20"/>
              </w:rPr>
              <w:t>38</w:t>
            </w:r>
          </w:p>
        </w:tc>
        <w:tc>
          <w:tcPr>
            <w:tcW w:w="1296" w:type="dxa"/>
            <w:shd w:val="clear" w:color="auto" w:fill="F2F2F2"/>
            <w:vAlign w:val="center"/>
          </w:tcPr>
          <w:p w:rsidR="004E6834" w:rsidRDefault="006836CB">
            <w:pPr>
              <w:jc w:val="center"/>
            </w:pPr>
            <w:r>
              <w:rPr>
                <w:sz w:val="20"/>
              </w:rPr>
              <w:t>65</w:t>
            </w:r>
          </w:p>
        </w:tc>
        <w:tc>
          <w:tcPr>
            <w:tcW w:w="1296" w:type="dxa"/>
            <w:shd w:val="clear" w:color="auto" w:fill="F2F2F2"/>
            <w:vAlign w:val="center"/>
          </w:tcPr>
          <w:p w:rsidR="004E6834" w:rsidRDefault="006836CB">
            <w:pPr>
              <w:jc w:val="center"/>
            </w:pPr>
            <w:r>
              <w:rPr>
                <w:sz w:val="20"/>
              </w:rPr>
              <w:t>60</w:t>
            </w:r>
          </w:p>
        </w:tc>
        <w:tc>
          <w:tcPr>
            <w:tcW w:w="1296" w:type="dxa"/>
            <w:shd w:val="clear" w:color="auto" w:fill="F2F2F2"/>
            <w:vAlign w:val="center"/>
          </w:tcPr>
          <w:p w:rsidR="004E6834" w:rsidRDefault="006836CB">
            <w:pPr>
              <w:jc w:val="center"/>
            </w:pPr>
            <w:r>
              <w:rPr>
                <w:sz w:val="20"/>
              </w:rPr>
              <w:t>51.5</w:t>
            </w:r>
          </w:p>
        </w:tc>
        <w:tc>
          <w:tcPr>
            <w:tcW w:w="1440" w:type="dxa"/>
            <w:shd w:val="clear" w:color="auto" w:fill="F2F2F2"/>
            <w:vAlign w:val="center"/>
          </w:tcPr>
          <w:p w:rsidR="004E6834" w:rsidRDefault="006836CB">
            <w:pPr>
              <w:jc w:val="center"/>
            </w:pPr>
            <w:r>
              <w:rPr>
                <w:sz w:val="20"/>
              </w:rPr>
              <w:t>25</w:t>
            </w:r>
          </w:p>
        </w:tc>
        <w:tc>
          <w:tcPr>
            <w:tcW w:w="1296" w:type="dxa"/>
            <w:shd w:val="clear" w:color="auto" w:fill="F2F2F2"/>
            <w:vAlign w:val="center"/>
          </w:tcPr>
          <w:p w:rsidR="004E6834" w:rsidRDefault="006836CB">
            <w:pPr>
              <w:jc w:val="center"/>
            </w:pPr>
            <w:r>
              <w:rPr>
                <w:sz w:val="20"/>
              </w:rPr>
              <w:t>65</w:t>
            </w:r>
          </w:p>
        </w:tc>
      </w:tr>
    </w:tbl>
    <w:p w:rsidR="004E6834" w:rsidRDefault="004E6834"/>
    <w:p w:rsidR="004E6834" w:rsidRDefault="006836CB">
      <w:pPr>
        <w:spacing w:after="120"/>
      </w:pPr>
      <w:r>
        <w:t xml:space="preserve">Labour costs as a percentage of gross profit hit the target precisely at </w:t>
      </w:r>
      <w:r>
        <w:rPr>
          <w:b/>
          <w:color w:val="1E7B34"/>
        </w:rPr>
        <w:t xml:space="preserve">38% </w:t>
      </w:r>
      <w:r>
        <w:t xml:space="preserve">— a significant improvement versus SPLY of 50% — demonstrating the Group's success in containing the wage bill relative to earnings. The gearing ratio of </w:t>
      </w:r>
      <w:r>
        <w:rPr>
          <w:b/>
          <w:color w:val="1F3864"/>
        </w:rPr>
        <w:t xml:space="preserve">0.22 </w:t>
      </w:r>
      <w:r>
        <w:t xml:space="preserve">remains well below the target ceiling of 0.36. Debt collection days improved dramatically from 110 days (SPLY) to </w:t>
      </w:r>
      <w:r>
        <w:rPr>
          <w:b/>
          <w:color w:val="1E7B34"/>
        </w:rPr>
        <w:t xml:space="preserve">64 days YTD </w:t>
      </w:r>
      <w:r>
        <w:t>— a 42% improvement — though still above the target of 33 days.</w:t>
      </w:r>
    </w:p>
    <w:p w:rsidR="004E6834" w:rsidRDefault="006836CB">
      <w:r>
        <w:br w:type="page"/>
      </w:r>
    </w:p>
    <w:p w:rsidR="004E6834" w:rsidRDefault="006836CB">
      <w:pPr>
        <w:pBdr>
          <w:bottom w:val="single" w:sz="12" w:space="1" w:color="2E75B6"/>
        </w:pBdr>
        <w:spacing w:before="360" w:after="120"/>
      </w:pPr>
      <w:r>
        <w:rPr>
          <w:b/>
          <w:color w:val="1F3864"/>
          <w:sz w:val="32"/>
        </w:rPr>
        <w:lastRenderedPageBreak/>
        <w:t>8.  BALANCE SHEET HIGHLIGHTS</w:t>
      </w:r>
    </w:p>
    <w:p w:rsidR="004E6834" w:rsidRDefault="006836CB">
      <w:pPr>
        <w:spacing w:before="240" w:after="80"/>
      </w:pPr>
      <w:r>
        <w:rPr>
          <w:b/>
          <w:color w:val="2E75B6"/>
          <w:sz w:val="26"/>
        </w:rPr>
        <w:t>8.1  Total Assets</w:t>
      </w:r>
    </w:p>
    <w:p w:rsidR="004E6834" w:rsidRDefault="006836CB">
      <w:pPr>
        <w:spacing w:after="120"/>
      </w:pPr>
      <w:r>
        <w:t xml:space="preserve">The Group's total assets as at 31 March 2026 stood at </w:t>
      </w:r>
      <w:r>
        <w:rPr>
          <w:b/>
          <w:color w:val="1F3864"/>
        </w:rPr>
        <w:t xml:space="preserve">US$87,273,204 </w:t>
      </w:r>
      <w:r>
        <w:t xml:space="preserve">— an increase of US$4,524,424 (+5.5%) from the year-end position of US$82,748,780 as at 31 December 2025. This increase was primarily driven by a </w:t>
      </w:r>
      <w:r>
        <w:rPr>
          <w:b/>
          <w:color w:val="1F3864"/>
        </w:rPr>
        <w:t xml:space="preserve">US$4,798,779 growth in trade and other receivables </w:t>
      </w:r>
      <w:r>
        <w:t>(reflecting the strong Q1 revenue and seasonal debtor build-up), partially offset by a reduction in cash and bank balances from US$1,083,682 to US$710,163.</w:t>
      </w:r>
    </w:p>
    <w:tbl>
      <w:tblPr>
        <w:tblStyle w:val="TableGrid"/>
        <w:tblW w:w="0" w:type="auto"/>
        <w:jc w:val="center"/>
        <w:tblLook w:val="04A0" w:firstRow="1" w:lastRow="0" w:firstColumn="1" w:lastColumn="0" w:noHBand="0" w:noVBand="1"/>
      </w:tblPr>
      <w:tblGrid>
        <w:gridCol w:w="2923"/>
        <w:gridCol w:w="2315"/>
        <w:gridCol w:w="2315"/>
        <w:gridCol w:w="2023"/>
      </w:tblGrid>
      <w:tr w:rsidR="004E6834">
        <w:trPr>
          <w:jc w:val="center"/>
        </w:trPr>
        <w:tc>
          <w:tcPr>
            <w:tcW w:w="3600" w:type="dxa"/>
            <w:shd w:val="clear" w:color="auto" w:fill="1F3864"/>
            <w:vAlign w:val="center"/>
          </w:tcPr>
          <w:p w:rsidR="004E6834" w:rsidRDefault="006836CB">
            <w:pPr>
              <w:jc w:val="center"/>
            </w:pPr>
            <w:r>
              <w:rPr>
                <w:b/>
                <w:color w:val="FFFFFF"/>
                <w:sz w:val="20"/>
              </w:rPr>
              <w:t>BALANCE SHEET ITEM</w:t>
            </w:r>
          </w:p>
        </w:tc>
        <w:tc>
          <w:tcPr>
            <w:tcW w:w="2736" w:type="dxa"/>
            <w:shd w:val="clear" w:color="auto" w:fill="1F3864"/>
            <w:vAlign w:val="center"/>
          </w:tcPr>
          <w:p w:rsidR="004E6834" w:rsidRDefault="006836CB">
            <w:pPr>
              <w:jc w:val="center"/>
            </w:pPr>
            <w:r>
              <w:rPr>
                <w:b/>
                <w:color w:val="FFFFFF"/>
                <w:sz w:val="20"/>
              </w:rPr>
              <w:t>31 MARCH 2026 (US$)</w:t>
            </w:r>
          </w:p>
        </w:tc>
        <w:tc>
          <w:tcPr>
            <w:tcW w:w="2736" w:type="dxa"/>
            <w:shd w:val="clear" w:color="auto" w:fill="1F3864"/>
            <w:vAlign w:val="center"/>
          </w:tcPr>
          <w:p w:rsidR="004E6834" w:rsidRDefault="006836CB">
            <w:pPr>
              <w:jc w:val="center"/>
            </w:pPr>
            <w:r>
              <w:rPr>
                <w:b/>
                <w:color w:val="FFFFFF"/>
                <w:sz w:val="20"/>
              </w:rPr>
              <w:t>31 DEC 2025 (US$)</w:t>
            </w:r>
          </w:p>
        </w:tc>
        <w:tc>
          <w:tcPr>
            <w:tcW w:w="2304" w:type="dxa"/>
            <w:shd w:val="clear" w:color="auto" w:fill="1F3864"/>
            <w:vAlign w:val="center"/>
          </w:tcPr>
          <w:p w:rsidR="004E6834" w:rsidRDefault="006836CB">
            <w:pPr>
              <w:jc w:val="center"/>
            </w:pPr>
            <w:r>
              <w:rPr>
                <w:b/>
                <w:color w:val="FFFFFF"/>
                <w:sz w:val="20"/>
              </w:rPr>
              <w:t>MOVEMENT</w:t>
            </w:r>
          </w:p>
        </w:tc>
      </w:tr>
      <w:tr w:rsidR="004E6834">
        <w:trPr>
          <w:jc w:val="center"/>
        </w:trPr>
        <w:tc>
          <w:tcPr>
            <w:tcW w:w="3600" w:type="dxa"/>
            <w:shd w:val="clear" w:color="auto" w:fill="1F3864"/>
            <w:vAlign w:val="center"/>
          </w:tcPr>
          <w:p w:rsidR="004E6834" w:rsidRDefault="006836CB">
            <w:r>
              <w:rPr>
                <w:b/>
                <w:color w:val="FFFFFF"/>
                <w:sz w:val="20"/>
              </w:rPr>
              <w:t>NON-CURRENT ASSETS</w:t>
            </w:r>
          </w:p>
        </w:tc>
        <w:tc>
          <w:tcPr>
            <w:tcW w:w="2736" w:type="dxa"/>
            <w:shd w:val="clear" w:color="auto" w:fill="1F3864"/>
            <w:vAlign w:val="center"/>
          </w:tcPr>
          <w:p w:rsidR="004E6834" w:rsidRDefault="004E6834">
            <w:pPr>
              <w:jc w:val="center"/>
            </w:pPr>
          </w:p>
        </w:tc>
        <w:tc>
          <w:tcPr>
            <w:tcW w:w="2736" w:type="dxa"/>
            <w:shd w:val="clear" w:color="auto" w:fill="1F3864"/>
            <w:vAlign w:val="center"/>
          </w:tcPr>
          <w:p w:rsidR="004E6834" w:rsidRDefault="004E6834">
            <w:pPr>
              <w:jc w:val="center"/>
            </w:pPr>
          </w:p>
        </w:tc>
        <w:tc>
          <w:tcPr>
            <w:tcW w:w="2304" w:type="dxa"/>
            <w:shd w:val="clear" w:color="auto" w:fill="1F3864"/>
            <w:vAlign w:val="center"/>
          </w:tcPr>
          <w:p w:rsidR="004E6834" w:rsidRDefault="004E6834">
            <w:pPr>
              <w:jc w:val="center"/>
            </w:pPr>
          </w:p>
        </w:tc>
      </w:tr>
      <w:tr w:rsidR="004E6834">
        <w:trPr>
          <w:jc w:val="center"/>
        </w:trPr>
        <w:tc>
          <w:tcPr>
            <w:tcW w:w="3600" w:type="dxa"/>
            <w:shd w:val="clear" w:color="auto" w:fill="FFFFFF"/>
            <w:vAlign w:val="center"/>
          </w:tcPr>
          <w:p w:rsidR="004E6834" w:rsidRDefault="006836CB">
            <w:r>
              <w:rPr>
                <w:sz w:val="20"/>
              </w:rPr>
              <w:t>Property &amp; Equipment</w:t>
            </w:r>
          </w:p>
        </w:tc>
        <w:tc>
          <w:tcPr>
            <w:tcW w:w="2736" w:type="dxa"/>
            <w:shd w:val="clear" w:color="auto" w:fill="FFFFFF"/>
            <w:vAlign w:val="center"/>
          </w:tcPr>
          <w:p w:rsidR="004E6834" w:rsidRDefault="006836CB">
            <w:pPr>
              <w:jc w:val="right"/>
            </w:pPr>
            <w:r>
              <w:rPr>
                <w:sz w:val="20"/>
              </w:rPr>
              <w:t>63,691,498</w:t>
            </w:r>
          </w:p>
        </w:tc>
        <w:tc>
          <w:tcPr>
            <w:tcW w:w="2736" w:type="dxa"/>
            <w:shd w:val="clear" w:color="auto" w:fill="FFFFFF"/>
            <w:vAlign w:val="center"/>
          </w:tcPr>
          <w:p w:rsidR="004E6834" w:rsidRDefault="006836CB">
            <w:pPr>
              <w:jc w:val="right"/>
            </w:pPr>
            <w:r>
              <w:rPr>
                <w:sz w:val="20"/>
              </w:rPr>
              <w:t>63,830,786</w:t>
            </w:r>
          </w:p>
        </w:tc>
        <w:tc>
          <w:tcPr>
            <w:tcW w:w="2304" w:type="dxa"/>
            <w:shd w:val="clear" w:color="auto" w:fill="FFFFFF"/>
            <w:vAlign w:val="center"/>
          </w:tcPr>
          <w:p w:rsidR="004E6834" w:rsidRDefault="006836CB">
            <w:pPr>
              <w:jc w:val="right"/>
            </w:pPr>
            <w:r>
              <w:rPr>
                <w:color w:val="C00000"/>
                <w:sz w:val="20"/>
              </w:rPr>
              <w:t>−139,288</w:t>
            </w:r>
          </w:p>
        </w:tc>
      </w:tr>
      <w:tr w:rsidR="004E6834">
        <w:trPr>
          <w:jc w:val="center"/>
        </w:trPr>
        <w:tc>
          <w:tcPr>
            <w:tcW w:w="3600" w:type="dxa"/>
            <w:shd w:val="clear" w:color="auto" w:fill="F2F2F2"/>
            <w:vAlign w:val="center"/>
          </w:tcPr>
          <w:p w:rsidR="004E6834" w:rsidRDefault="006836CB">
            <w:r>
              <w:rPr>
                <w:sz w:val="20"/>
              </w:rPr>
              <w:t>Intangible Assets</w:t>
            </w:r>
          </w:p>
        </w:tc>
        <w:tc>
          <w:tcPr>
            <w:tcW w:w="2736" w:type="dxa"/>
            <w:shd w:val="clear" w:color="auto" w:fill="F2F2F2"/>
            <w:vAlign w:val="center"/>
          </w:tcPr>
          <w:p w:rsidR="004E6834" w:rsidRDefault="006836CB">
            <w:pPr>
              <w:jc w:val="right"/>
            </w:pPr>
            <w:r>
              <w:rPr>
                <w:sz w:val="20"/>
              </w:rPr>
              <w:t>69,015</w:t>
            </w:r>
          </w:p>
        </w:tc>
        <w:tc>
          <w:tcPr>
            <w:tcW w:w="2736" w:type="dxa"/>
            <w:shd w:val="clear" w:color="auto" w:fill="F2F2F2"/>
            <w:vAlign w:val="center"/>
          </w:tcPr>
          <w:p w:rsidR="004E6834" w:rsidRDefault="006836CB">
            <w:pPr>
              <w:jc w:val="right"/>
            </w:pPr>
            <w:r>
              <w:rPr>
                <w:sz w:val="20"/>
              </w:rPr>
              <w:t>74,015</w:t>
            </w:r>
          </w:p>
        </w:tc>
        <w:tc>
          <w:tcPr>
            <w:tcW w:w="2304" w:type="dxa"/>
            <w:shd w:val="clear" w:color="auto" w:fill="F2F2F2"/>
            <w:vAlign w:val="center"/>
          </w:tcPr>
          <w:p w:rsidR="004E6834" w:rsidRDefault="006836CB">
            <w:pPr>
              <w:jc w:val="right"/>
            </w:pPr>
            <w:r>
              <w:rPr>
                <w:color w:val="C00000"/>
                <w:sz w:val="20"/>
              </w:rPr>
              <w:t>−5,000</w:t>
            </w:r>
          </w:p>
        </w:tc>
      </w:tr>
      <w:tr w:rsidR="004E6834">
        <w:trPr>
          <w:jc w:val="center"/>
        </w:trPr>
        <w:tc>
          <w:tcPr>
            <w:tcW w:w="3600" w:type="dxa"/>
            <w:shd w:val="clear" w:color="auto" w:fill="FFFFFF"/>
            <w:vAlign w:val="center"/>
          </w:tcPr>
          <w:p w:rsidR="004E6834" w:rsidRDefault="006836CB">
            <w:r>
              <w:rPr>
                <w:sz w:val="20"/>
              </w:rPr>
              <w:t>Right-of-Use Assets</w:t>
            </w:r>
          </w:p>
        </w:tc>
        <w:tc>
          <w:tcPr>
            <w:tcW w:w="2736" w:type="dxa"/>
            <w:shd w:val="clear" w:color="auto" w:fill="FFFFFF"/>
            <w:vAlign w:val="center"/>
          </w:tcPr>
          <w:p w:rsidR="004E6834" w:rsidRDefault="006836CB">
            <w:pPr>
              <w:jc w:val="right"/>
            </w:pPr>
            <w:r>
              <w:rPr>
                <w:sz w:val="20"/>
              </w:rPr>
              <w:t>1,514,103</w:t>
            </w:r>
          </w:p>
        </w:tc>
        <w:tc>
          <w:tcPr>
            <w:tcW w:w="2736" w:type="dxa"/>
            <w:shd w:val="clear" w:color="auto" w:fill="FFFFFF"/>
            <w:vAlign w:val="center"/>
          </w:tcPr>
          <w:p w:rsidR="004E6834" w:rsidRDefault="006836CB">
            <w:pPr>
              <w:jc w:val="right"/>
            </w:pPr>
            <w:r>
              <w:rPr>
                <w:sz w:val="20"/>
              </w:rPr>
              <w:t>1,162,026</w:t>
            </w:r>
          </w:p>
        </w:tc>
        <w:tc>
          <w:tcPr>
            <w:tcW w:w="2304" w:type="dxa"/>
            <w:shd w:val="clear" w:color="auto" w:fill="FFFFFF"/>
            <w:vAlign w:val="center"/>
          </w:tcPr>
          <w:p w:rsidR="004E6834" w:rsidRDefault="006836CB">
            <w:pPr>
              <w:jc w:val="right"/>
            </w:pPr>
            <w:r>
              <w:rPr>
                <w:b/>
                <w:color w:val="1E7B34"/>
                <w:sz w:val="20"/>
              </w:rPr>
              <w:t>+352,077</w:t>
            </w:r>
          </w:p>
        </w:tc>
      </w:tr>
      <w:tr w:rsidR="004E6834">
        <w:trPr>
          <w:jc w:val="center"/>
        </w:trPr>
        <w:tc>
          <w:tcPr>
            <w:tcW w:w="3600" w:type="dxa"/>
            <w:shd w:val="clear" w:color="auto" w:fill="F2F2F2"/>
            <w:vAlign w:val="center"/>
          </w:tcPr>
          <w:p w:rsidR="004E6834" w:rsidRDefault="006836CB">
            <w:r>
              <w:rPr>
                <w:sz w:val="20"/>
              </w:rPr>
              <w:t>Biological Assets</w:t>
            </w:r>
          </w:p>
        </w:tc>
        <w:tc>
          <w:tcPr>
            <w:tcW w:w="2736" w:type="dxa"/>
            <w:shd w:val="clear" w:color="auto" w:fill="F2F2F2"/>
            <w:vAlign w:val="center"/>
          </w:tcPr>
          <w:p w:rsidR="004E6834" w:rsidRDefault="006836CB">
            <w:pPr>
              <w:jc w:val="right"/>
            </w:pPr>
            <w:r>
              <w:rPr>
                <w:sz w:val="20"/>
              </w:rPr>
              <w:t>6,000</w:t>
            </w:r>
          </w:p>
        </w:tc>
        <w:tc>
          <w:tcPr>
            <w:tcW w:w="2736" w:type="dxa"/>
            <w:shd w:val="clear" w:color="auto" w:fill="F2F2F2"/>
            <w:vAlign w:val="center"/>
          </w:tcPr>
          <w:p w:rsidR="004E6834" w:rsidRDefault="006836CB">
            <w:pPr>
              <w:jc w:val="right"/>
            </w:pPr>
            <w:r>
              <w:rPr>
                <w:sz w:val="20"/>
              </w:rPr>
              <w:t>6,000</w:t>
            </w:r>
          </w:p>
        </w:tc>
        <w:tc>
          <w:tcPr>
            <w:tcW w:w="2304" w:type="dxa"/>
            <w:shd w:val="clear" w:color="auto" w:fill="F2F2F2"/>
            <w:vAlign w:val="center"/>
          </w:tcPr>
          <w:p w:rsidR="004E6834" w:rsidRDefault="006836CB">
            <w:pPr>
              <w:jc w:val="center"/>
            </w:pPr>
            <w:r>
              <w:rPr>
                <w:sz w:val="20"/>
              </w:rPr>
              <w:t>–</w:t>
            </w:r>
          </w:p>
        </w:tc>
      </w:tr>
      <w:tr w:rsidR="004E6834">
        <w:trPr>
          <w:jc w:val="center"/>
        </w:trPr>
        <w:tc>
          <w:tcPr>
            <w:tcW w:w="3600" w:type="dxa"/>
            <w:shd w:val="clear" w:color="auto" w:fill="FFFFFF"/>
            <w:vAlign w:val="center"/>
          </w:tcPr>
          <w:p w:rsidR="004E6834" w:rsidRDefault="006836CB">
            <w:r>
              <w:rPr>
                <w:b/>
                <w:sz w:val="20"/>
              </w:rPr>
              <w:t>Total Non-Current Assets</w:t>
            </w:r>
          </w:p>
        </w:tc>
        <w:tc>
          <w:tcPr>
            <w:tcW w:w="2736" w:type="dxa"/>
            <w:shd w:val="clear" w:color="auto" w:fill="FFFFFF"/>
            <w:vAlign w:val="center"/>
          </w:tcPr>
          <w:p w:rsidR="004E6834" w:rsidRDefault="006836CB">
            <w:pPr>
              <w:jc w:val="right"/>
            </w:pPr>
            <w:r>
              <w:rPr>
                <w:b/>
                <w:sz w:val="20"/>
              </w:rPr>
              <w:t>65,280,616</w:t>
            </w:r>
          </w:p>
        </w:tc>
        <w:tc>
          <w:tcPr>
            <w:tcW w:w="2736" w:type="dxa"/>
            <w:shd w:val="clear" w:color="auto" w:fill="FFFFFF"/>
            <w:vAlign w:val="center"/>
          </w:tcPr>
          <w:p w:rsidR="004E6834" w:rsidRDefault="006836CB">
            <w:pPr>
              <w:jc w:val="right"/>
            </w:pPr>
            <w:r>
              <w:rPr>
                <w:b/>
                <w:sz w:val="20"/>
              </w:rPr>
              <w:t>65,072,827</w:t>
            </w:r>
          </w:p>
        </w:tc>
        <w:tc>
          <w:tcPr>
            <w:tcW w:w="2304" w:type="dxa"/>
            <w:shd w:val="clear" w:color="auto" w:fill="FFFFFF"/>
            <w:vAlign w:val="center"/>
          </w:tcPr>
          <w:p w:rsidR="004E6834" w:rsidRDefault="006836CB">
            <w:pPr>
              <w:jc w:val="right"/>
            </w:pPr>
            <w:r>
              <w:rPr>
                <w:b/>
                <w:color w:val="1E7B34"/>
                <w:sz w:val="20"/>
              </w:rPr>
              <w:t>+207,789</w:t>
            </w:r>
          </w:p>
        </w:tc>
      </w:tr>
      <w:tr w:rsidR="004E6834">
        <w:trPr>
          <w:jc w:val="center"/>
        </w:trPr>
        <w:tc>
          <w:tcPr>
            <w:tcW w:w="3600" w:type="dxa"/>
            <w:shd w:val="clear" w:color="auto" w:fill="1F3864"/>
            <w:vAlign w:val="center"/>
          </w:tcPr>
          <w:p w:rsidR="004E6834" w:rsidRDefault="006836CB">
            <w:r>
              <w:rPr>
                <w:b/>
                <w:color w:val="FFFFFF"/>
                <w:sz w:val="20"/>
              </w:rPr>
              <w:t>CURRENT ASSETS</w:t>
            </w:r>
          </w:p>
        </w:tc>
        <w:tc>
          <w:tcPr>
            <w:tcW w:w="2736" w:type="dxa"/>
            <w:shd w:val="clear" w:color="auto" w:fill="1F3864"/>
            <w:vAlign w:val="center"/>
          </w:tcPr>
          <w:p w:rsidR="004E6834" w:rsidRDefault="004E6834">
            <w:pPr>
              <w:jc w:val="center"/>
            </w:pPr>
          </w:p>
        </w:tc>
        <w:tc>
          <w:tcPr>
            <w:tcW w:w="2736" w:type="dxa"/>
            <w:shd w:val="clear" w:color="auto" w:fill="1F3864"/>
            <w:vAlign w:val="center"/>
          </w:tcPr>
          <w:p w:rsidR="004E6834" w:rsidRDefault="004E6834">
            <w:pPr>
              <w:jc w:val="center"/>
            </w:pPr>
          </w:p>
        </w:tc>
        <w:tc>
          <w:tcPr>
            <w:tcW w:w="2304" w:type="dxa"/>
            <w:shd w:val="clear" w:color="auto" w:fill="1F3864"/>
            <w:vAlign w:val="center"/>
          </w:tcPr>
          <w:p w:rsidR="004E6834" w:rsidRDefault="004E6834">
            <w:pPr>
              <w:jc w:val="center"/>
            </w:pPr>
          </w:p>
        </w:tc>
      </w:tr>
      <w:tr w:rsidR="004E6834">
        <w:trPr>
          <w:jc w:val="center"/>
        </w:trPr>
        <w:tc>
          <w:tcPr>
            <w:tcW w:w="3600" w:type="dxa"/>
            <w:shd w:val="clear" w:color="auto" w:fill="FFFFFF"/>
            <w:vAlign w:val="center"/>
          </w:tcPr>
          <w:p w:rsidR="004E6834" w:rsidRDefault="006836CB">
            <w:r>
              <w:rPr>
                <w:sz w:val="20"/>
              </w:rPr>
              <w:t>Inventories</w:t>
            </w:r>
          </w:p>
        </w:tc>
        <w:tc>
          <w:tcPr>
            <w:tcW w:w="2736" w:type="dxa"/>
            <w:shd w:val="clear" w:color="auto" w:fill="FFFFFF"/>
            <w:vAlign w:val="center"/>
          </w:tcPr>
          <w:p w:rsidR="004E6834" w:rsidRDefault="006836CB">
            <w:pPr>
              <w:jc w:val="right"/>
            </w:pPr>
            <w:r>
              <w:rPr>
                <w:sz w:val="20"/>
              </w:rPr>
              <w:t>3,037,965</w:t>
            </w:r>
          </w:p>
        </w:tc>
        <w:tc>
          <w:tcPr>
            <w:tcW w:w="2736" w:type="dxa"/>
            <w:shd w:val="clear" w:color="auto" w:fill="FFFFFF"/>
            <w:vAlign w:val="center"/>
          </w:tcPr>
          <w:p w:rsidR="004E6834" w:rsidRDefault="006836CB">
            <w:pPr>
              <w:jc w:val="right"/>
            </w:pPr>
            <w:r>
              <w:rPr>
                <w:sz w:val="20"/>
              </w:rPr>
              <w:t>3,067,109</w:t>
            </w:r>
          </w:p>
        </w:tc>
        <w:tc>
          <w:tcPr>
            <w:tcW w:w="2304" w:type="dxa"/>
            <w:shd w:val="clear" w:color="auto" w:fill="FFFFFF"/>
            <w:vAlign w:val="center"/>
          </w:tcPr>
          <w:p w:rsidR="004E6834" w:rsidRDefault="006836CB">
            <w:pPr>
              <w:jc w:val="right"/>
            </w:pPr>
            <w:r>
              <w:rPr>
                <w:color w:val="C00000"/>
                <w:sz w:val="20"/>
              </w:rPr>
              <w:t>−29,144</w:t>
            </w:r>
          </w:p>
        </w:tc>
      </w:tr>
      <w:tr w:rsidR="004E6834">
        <w:trPr>
          <w:jc w:val="center"/>
        </w:trPr>
        <w:tc>
          <w:tcPr>
            <w:tcW w:w="3600" w:type="dxa"/>
            <w:shd w:val="clear" w:color="auto" w:fill="F2F2F2"/>
            <w:vAlign w:val="center"/>
          </w:tcPr>
          <w:p w:rsidR="004E6834" w:rsidRDefault="006836CB">
            <w:r>
              <w:rPr>
                <w:sz w:val="20"/>
              </w:rPr>
              <w:t>Trade &amp; Other Receivables</w:t>
            </w:r>
          </w:p>
        </w:tc>
        <w:tc>
          <w:tcPr>
            <w:tcW w:w="2736" w:type="dxa"/>
            <w:shd w:val="clear" w:color="auto" w:fill="F2F2F2"/>
            <w:vAlign w:val="center"/>
          </w:tcPr>
          <w:p w:rsidR="004E6834" w:rsidRDefault="006836CB">
            <w:pPr>
              <w:jc w:val="right"/>
            </w:pPr>
            <w:r>
              <w:rPr>
                <w:sz w:val="20"/>
              </w:rPr>
              <w:t>16,958,912</w:t>
            </w:r>
          </w:p>
        </w:tc>
        <w:tc>
          <w:tcPr>
            <w:tcW w:w="2736" w:type="dxa"/>
            <w:shd w:val="clear" w:color="auto" w:fill="F2F2F2"/>
            <w:vAlign w:val="center"/>
          </w:tcPr>
          <w:p w:rsidR="004E6834" w:rsidRDefault="006836CB">
            <w:pPr>
              <w:jc w:val="right"/>
            </w:pPr>
            <w:r>
              <w:rPr>
                <w:sz w:val="20"/>
              </w:rPr>
              <w:t>12,160,133</w:t>
            </w:r>
          </w:p>
        </w:tc>
        <w:tc>
          <w:tcPr>
            <w:tcW w:w="2304" w:type="dxa"/>
            <w:shd w:val="clear" w:color="auto" w:fill="F2F2F2"/>
            <w:vAlign w:val="center"/>
          </w:tcPr>
          <w:p w:rsidR="004E6834" w:rsidRDefault="006836CB">
            <w:pPr>
              <w:jc w:val="right"/>
            </w:pPr>
            <w:r>
              <w:rPr>
                <w:b/>
                <w:color w:val="C00000"/>
                <w:sz w:val="20"/>
              </w:rPr>
              <w:t>+4,798,779</w:t>
            </w:r>
          </w:p>
        </w:tc>
      </w:tr>
      <w:tr w:rsidR="004E6834">
        <w:trPr>
          <w:jc w:val="center"/>
        </w:trPr>
        <w:tc>
          <w:tcPr>
            <w:tcW w:w="3600" w:type="dxa"/>
            <w:shd w:val="clear" w:color="auto" w:fill="FFFFFF"/>
            <w:vAlign w:val="center"/>
          </w:tcPr>
          <w:p w:rsidR="004E6834" w:rsidRDefault="006836CB">
            <w:r>
              <w:rPr>
                <w:sz w:val="20"/>
              </w:rPr>
              <w:t>Financial Assets</w:t>
            </w:r>
          </w:p>
        </w:tc>
        <w:tc>
          <w:tcPr>
            <w:tcW w:w="2736" w:type="dxa"/>
            <w:shd w:val="clear" w:color="auto" w:fill="FFFFFF"/>
            <w:vAlign w:val="center"/>
          </w:tcPr>
          <w:p w:rsidR="004E6834" w:rsidRDefault="006836CB">
            <w:pPr>
              <w:jc w:val="right"/>
            </w:pPr>
            <w:r>
              <w:rPr>
                <w:sz w:val="20"/>
              </w:rPr>
              <w:t>1,285,547</w:t>
            </w:r>
          </w:p>
        </w:tc>
        <w:tc>
          <w:tcPr>
            <w:tcW w:w="2736" w:type="dxa"/>
            <w:shd w:val="clear" w:color="auto" w:fill="FFFFFF"/>
            <w:vAlign w:val="center"/>
          </w:tcPr>
          <w:p w:rsidR="004E6834" w:rsidRDefault="006836CB">
            <w:pPr>
              <w:jc w:val="right"/>
            </w:pPr>
            <w:r>
              <w:rPr>
                <w:sz w:val="20"/>
              </w:rPr>
              <w:t>1,365,028</w:t>
            </w:r>
          </w:p>
        </w:tc>
        <w:tc>
          <w:tcPr>
            <w:tcW w:w="2304" w:type="dxa"/>
            <w:shd w:val="clear" w:color="auto" w:fill="FFFFFF"/>
            <w:vAlign w:val="center"/>
          </w:tcPr>
          <w:p w:rsidR="004E6834" w:rsidRDefault="006836CB">
            <w:pPr>
              <w:jc w:val="right"/>
            </w:pPr>
            <w:r>
              <w:rPr>
                <w:color w:val="C00000"/>
                <w:sz w:val="20"/>
              </w:rPr>
              <w:t>−79,481</w:t>
            </w:r>
          </w:p>
        </w:tc>
      </w:tr>
      <w:tr w:rsidR="004E6834">
        <w:trPr>
          <w:jc w:val="center"/>
        </w:trPr>
        <w:tc>
          <w:tcPr>
            <w:tcW w:w="3600" w:type="dxa"/>
            <w:shd w:val="clear" w:color="auto" w:fill="F2F2F2"/>
            <w:vAlign w:val="center"/>
          </w:tcPr>
          <w:p w:rsidR="004E6834" w:rsidRDefault="006836CB">
            <w:r>
              <w:rPr>
                <w:sz w:val="20"/>
              </w:rPr>
              <w:t>Cash &amp; Bank Balances</w:t>
            </w:r>
          </w:p>
        </w:tc>
        <w:tc>
          <w:tcPr>
            <w:tcW w:w="2736" w:type="dxa"/>
            <w:shd w:val="clear" w:color="auto" w:fill="F2F2F2"/>
            <w:vAlign w:val="center"/>
          </w:tcPr>
          <w:p w:rsidR="004E6834" w:rsidRDefault="006836CB">
            <w:pPr>
              <w:jc w:val="right"/>
            </w:pPr>
            <w:r>
              <w:rPr>
                <w:sz w:val="20"/>
              </w:rPr>
              <w:t>710,163</w:t>
            </w:r>
          </w:p>
        </w:tc>
        <w:tc>
          <w:tcPr>
            <w:tcW w:w="2736" w:type="dxa"/>
            <w:shd w:val="clear" w:color="auto" w:fill="F2F2F2"/>
            <w:vAlign w:val="center"/>
          </w:tcPr>
          <w:p w:rsidR="004E6834" w:rsidRDefault="006836CB">
            <w:pPr>
              <w:jc w:val="right"/>
            </w:pPr>
            <w:r>
              <w:rPr>
                <w:sz w:val="20"/>
              </w:rPr>
              <w:t>1,083,682</w:t>
            </w:r>
          </w:p>
        </w:tc>
        <w:tc>
          <w:tcPr>
            <w:tcW w:w="2304" w:type="dxa"/>
            <w:shd w:val="clear" w:color="auto" w:fill="F2F2F2"/>
            <w:vAlign w:val="center"/>
          </w:tcPr>
          <w:p w:rsidR="004E6834" w:rsidRDefault="006836CB">
            <w:pPr>
              <w:jc w:val="right"/>
            </w:pPr>
            <w:r>
              <w:rPr>
                <w:color w:val="C00000"/>
                <w:sz w:val="20"/>
              </w:rPr>
              <w:t>−373,519</w:t>
            </w:r>
          </w:p>
        </w:tc>
      </w:tr>
      <w:tr w:rsidR="004E6834">
        <w:trPr>
          <w:jc w:val="center"/>
        </w:trPr>
        <w:tc>
          <w:tcPr>
            <w:tcW w:w="3600" w:type="dxa"/>
            <w:shd w:val="clear" w:color="auto" w:fill="FFFFFF"/>
            <w:vAlign w:val="center"/>
          </w:tcPr>
          <w:p w:rsidR="004E6834" w:rsidRDefault="006836CB">
            <w:r>
              <w:rPr>
                <w:b/>
                <w:sz w:val="20"/>
              </w:rPr>
              <w:t>Total Current Assets</w:t>
            </w:r>
          </w:p>
        </w:tc>
        <w:tc>
          <w:tcPr>
            <w:tcW w:w="2736" w:type="dxa"/>
            <w:shd w:val="clear" w:color="auto" w:fill="FFFFFF"/>
            <w:vAlign w:val="center"/>
          </w:tcPr>
          <w:p w:rsidR="004E6834" w:rsidRDefault="006836CB">
            <w:pPr>
              <w:jc w:val="right"/>
            </w:pPr>
            <w:r>
              <w:rPr>
                <w:b/>
                <w:sz w:val="20"/>
              </w:rPr>
              <w:t>21,992,588</w:t>
            </w:r>
          </w:p>
        </w:tc>
        <w:tc>
          <w:tcPr>
            <w:tcW w:w="2736" w:type="dxa"/>
            <w:shd w:val="clear" w:color="auto" w:fill="FFFFFF"/>
            <w:vAlign w:val="center"/>
          </w:tcPr>
          <w:p w:rsidR="004E6834" w:rsidRDefault="006836CB">
            <w:pPr>
              <w:jc w:val="right"/>
            </w:pPr>
            <w:r>
              <w:rPr>
                <w:b/>
                <w:sz w:val="20"/>
              </w:rPr>
              <w:t>17,675,952</w:t>
            </w:r>
          </w:p>
        </w:tc>
        <w:tc>
          <w:tcPr>
            <w:tcW w:w="2304" w:type="dxa"/>
            <w:shd w:val="clear" w:color="auto" w:fill="FFFFFF"/>
            <w:vAlign w:val="center"/>
          </w:tcPr>
          <w:p w:rsidR="004E6834" w:rsidRDefault="006836CB">
            <w:pPr>
              <w:jc w:val="right"/>
            </w:pPr>
            <w:r>
              <w:rPr>
                <w:b/>
                <w:color w:val="1F3864"/>
                <w:sz w:val="20"/>
              </w:rPr>
              <w:t>+4,316,636</w:t>
            </w:r>
          </w:p>
        </w:tc>
      </w:tr>
      <w:tr w:rsidR="004E6834">
        <w:trPr>
          <w:jc w:val="center"/>
        </w:trPr>
        <w:tc>
          <w:tcPr>
            <w:tcW w:w="3600" w:type="dxa"/>
            <w:shd w:val="clear" w:color="auto" w:fill="1F3864"/>
            <w:vAlign w:val="center"/>
          </w:tcPr>
          <w:p w:rsidR="004E6834" w:rsidRDefault="006836CB">
            <w:r>
              <w:rPr>
                <w:b/>
                <w:color w:val="FFFFFF"/>
                <w:sz w:val="20"/>
              </w:rPr>
              <w:t>TOTAL ASSETS</w:t>
            </w:r>
          </w:p>
        </w:tc>
        <w:tc>
          <w:tcPr>
            <w:tcW w:w="2736" w:type="dxa"/>
            <w:shd w:val="clear" w:color="auto" w:fill="1F3864"/>
            <w:vAlign w:val="center"/>
          </w:tcPr>
          <w:p w:rsidR="004E6834" w:rsidRDefault="006836CB">
            <w:pPr>
              <w:jc w:val="right"/>
            </w:pPr>
            <w:r>
              <w:rPr>
                <w:b/>
                <w:color w:val="FFFFFF"/>
                <w:sz w:val="20"/>
              </w:rPr>
              <w:t>87,273,204</w:t>
            </w:r>
          </w:p>
        </w:tc>
        <w:tc>
          <w:tcPr>
            <w:tcW w:w="2736" w:type="dxa"/>
            <w:shd w:val="clear" w:color="auto" w:fill="1F3864"/>
            <w:vAlign w:val="center"/>
          </w:tcPr>
          <w:p w:rsidR="004E6834" w:rsidRDefault="006836CB">
            <w:pPr>
              <w:jc w:val="right"/>
            </w:pPr>
            <w:r>
              <w:rPr>
                <w:b/>
                <w:color w:val="FFFFFF"/>
                <w:sz w:val="20"/>
              </w:rPr>
              <w:t>82,748,780</w:t>
            </w:r>
          </w:p>
        </w:tc>
        <w:tc>
          <w:tcPr>
            <w:tcW w:w="2304" w:type="dxa"/>
            <w:shd w:val="clear" w:color="auto" w:fill="1F3864"/>
            <w:vAlign w:val="center"/>
          </w:tcPr>
          <w:p w:rsidR="004E6834" w:rsidRDefault="006836CB">
            <w:pPr>
              <w:jc w:val="right"/>
            </w:pPr>
            <w:r>
              <w:rPr>
                <w:b/>
                <w:color w:val="FFFFFF"/>
                <w:sz w:val="20"/>
              </w:rPr>
              <w:t>+4,524,424</w:t>
            </w:r>
          </w:p>
        </w:tc>
      </w:tr>
    </w:tbl>
    <w:p w:rsidR="004E6834" w:rsidRDefault="004E6834"/>
    <w:p w:rsidR="004E6834" w:rsidRDefault="006836CB">
      <w:pPr>
        <w:spacing w:before="240" w:after="80"/>
      </w:pPr>
      <w:r>
        <w:rPr>
          <w:b/>
          <w:color w:val="2E75B6"/>
          <w:sz w:val="26"/>
        </w:rPr>
        <w:t>8.2  Liquidity</w:t>
      </w:r>
    </w:p>
    <w:p w:rsidR="004E6834" w:rsidRDefault="006836CB">
      <w:pPr>
        <w:spacing w:after="120"/>
      </w:pPr>
      <w:r>
        <w:t xml:space="preserve">The current ratio at 31 March 2026 was </w:t>
      </w:r>
      <w:r>
        <w:rPr>
          <w:b/>
          <w:color w:val="1F3864"/>
        </w:rPr>
        <w:t xml:space="preserve">0.83 </w:t>
      </w:r>
      <w:r>
        <w:t xml:space="preserve">(SPLY: 0.78, target: 1.35) and the quick ratio was </w:t>
      </w:r>
      <w:r>
        <w:rPr>
          <w:b/>
          <w:color w:val="1F3864"/>
        </w:rPr>
        <w:t xml:space="preserve">0.72 </w:t>
      </w:r>
      <w:r>
        <w:t>(SPLY: 0.64, target: 1.02). While both remain below target, the direction of improvement is positive. Cash declined from US$1,083,682 to US$710,163 over the quarter. The Group is implementing measures to accelerate collections and optimise working capital to improve these ratios.</w:t>
      </w:r>
    </w:p>
    <w:p w:rsidR="004E6834" w:rsidRDefault="006836CB">
      <w:pPr>
        <w:spacing w:before="240" w:after="80"/>
      </w:pPr>
      <w:r>
        <w:rPr>
          <w:b/>
          <w:color w:val="2E75B6"/>
          <w:sz w:val="26"/>
        </w:rPr>
        <w:t>8.3  Capital Expenditure</w:t>
      </w:r>
    </w:p>
    <w:p w:rsidR="004E6834" w:rsidRDefault="006836CB">
      <w:pPr>
        <w:spacing w:after="120"/>
      </w:pPr>
      <w:r>
        <w:t xml:space="preserve">Capital expenditure of </w:t>
      </w:r>
      <w:r>
        <w:rPr>
          <w:b/>
          <w:color w:val="1F3864"/>
        </w:rPr>
        <w:t xml:space="preserve">US$80,511 </w:t>
      </w:r>
      <w:r>
        <w:t>was incurred in Q1 2026 — significantly below the prior-year level of US$10,289,265 (full year 2025) — reflecting the completion of the major refurbishment programmes at A'Zambezi, Victoria Falls Rainbow Hotel, and other properties. The Group will invest selectively in PPE at _________ and _________ in Q2/Q3 2026 to sustain asset quality.</w:t>
      </w:r>
    </w:p>
    <w:p w:rsidR="004E6834" w:rsidRDefault="006836CB">
      <w:r>
        <w:br w:type="page"/>
      </w:r>
    </w:p>
    <w:p w:rsidR="004E6834" w:rsidRDefault="006836CB">
      <w:pPr>
        <w:pBdr>
          <w:bottom w:val="single" w:sz="12" w:space="1" w:color="2E75B6"/>
        </w:pBdr>
        <w:spacing w:before="360" w:after="120"/>
      </w:pPr>
      <w:r>
        <w:rPr>
          <w:b/>
          <w:color w:val="1F3864"/>
          <w:sz w:val="32"/>
        </w:rPr>
        <w:lastRenderedPageBreak/>
        <w:t>9.  CASH FLOW STATEMENT</w:t>
      </w:r>
    </w:p>
    <w:p w:rsidR="004E6834" w:rsidRDefault="006836CB">
      <w:pPr>
        <w:spacing w:after="120"/>
      </w:pPr>
      <w:r>
        <w:t xml:space="preserve">Net cash generated from operating activities was </w:t>
      </w:r>
      <w:r>
        <w:rPr>
          <w:b/>
          <w:color w:val="1F3864"/>
        </w:rPr>
        <w:t xml:space="preserve">US$450,371 </w:t>
      </w:r>
      <w:r>
        <w:t>in Q1 2026, against US$5,968,617 for the full year 2025. The Q1 figure was impacted by a US$4,798,779 seasonal build-up in trade receivables, partially offset by a US$3,035,159 increase in trade payables. After finance costs of US$(336,462) and no tax payments, the Group generated positive operating cashflow, with capital expenditure of only US$(80,511).</w:t>
      </w:r>
    </w:p>
    <w:tbl>
      <w:tblPr>
        <w:tblStyle w:val="TableGrid"/>
        <w:tblW w:w="0" w:type="auto"/>
        <w:jc w:val="center"/>
        <w:tblLook w:val="04A0" w:firstRow="1" w:lastRow="0" w:firstColumn="1" w:lastColumn="0" w:noHBand="0" w:noVBand="1"/>
      </w:tblPr>
      <w:tblGrid>
        <w:gridCol w:w="4455"/>
        <w:gridCol w:w="2491"/>
        <w:gridCol w:w="2630"/>
      </w:tblGrid>
      <w:tr w:rsidR="004E6834">
        <w:trPr>
          <w:jc w:val="center"/>
        </w:trPr>
        <w:tc>
          <w:tcPr>
            <w:tcW w:w="5040" w:type="dxa"/>
            <w:shd w:val="clear" w:color="auto" w:fill="1F3864"/>
            <w:vAlign w:val="center"/>
          </w:tcPr>
          <w:p w:rsidR="004E6834" w:rsidRDefault="006836CB">
            <w:pPr>
              <w:jc w:val="center"/>
            </w:pPr>
            <w:r>
              <w:rPr>
                <w:b/>
                <w:color w:val="FFFFFF"/>
                <w:sz w:val="20"/>
              </w:rPr>
              <w:t>CASH FLOW ITEM</w:t>
            </w:r>
          </w:p>
        </w:tc>
        <w:tc>
          <w:tcPr>
            <w:tcW w:w="2736" w:type="dxa"/>
            <w:shd w:val="clear" w:color="auto" w:fill="1F3864"/>
            <w:vAlign w:val="center"/>
          </w:tcPr>
          <w:p w:rsidR="004E6834" w:rsidRDefault="006836CB">
            <w:pPr>
              <w:jc w:val="center"/>
            </w:pPr>
            <w:r>
              <w:rPr>
                <w:b/>
                <w:color w:val="FFFFFF"/>
                <w:sz w:val="20"/>
              </w:rPr>
              <w:t>Q1 2026 (US$)</w:t>
            </w:r>
          </w:p>
        </w:tc>
        <w:tc>
          <w:tcPr>
            <w:tcW w:w="2880" w:type="dxa"/>
            <w:shd w:val="clear" w:color="auto" w:fill="1F3864"/>
            <w:vAlign w:val="center"/>
          </w:tcPr>
          <w:p w:rsidR="004E6834" w:rsidRDefault="006836CB">
            <w:pPr>
              <w:jc w:val="center"/>
            </w:pPr>
            <w:r>
              <w:rPr>
                <w:b/>
                <w:color w:val="FFFFFF"/>
                <w:sz w:val="20"/>
              </w:rPr>
              <w:t>FY 2025 (US$)</w:t>
            </w:r>
          </w:p>
        </w:tc>
      </w:tr>
      <w:tr w:rsidR="004E6834">
        <w:trPr>
          <w:jc w:val="center"/>
        </w:trPr>
        <w:tc>
          <w:tcPr>
            <w:tcW w:w="5040" w:type="dxa"/>
            <w:shd w:val="clear" w:color="auto" w:fill="F2F2F2"/>
            <w:vAlign w:val="center"/>
          </w:tcPr>
          <w:p w:rsidR="004E6834" w:rsidRDefault="006836CB">
            <w:r>
              <w:rPr>
                <w:b/>
                <w:sz w:val="20"/>
              </w:rPr>
              <w:t>Profit Before Tax</w:t>
            </w:r>
          </w:p>
        </w:tc>
        <w:tc>
          <w:tcPr>
            <w:tcW w:w="2736" w:type="dxa"/>
            <w:shd w:val="clear" w:color="auto" w:fill="F2F2F2"/>
            <w:vAlign w:val="center"/>
          </w:tcPr>
          <w:p w:rsidR="004E6834" w:rsidRDefault="006836CB">
            <w:pPr>
              <w:jc w:val="right"/>
            </w:pPr>
            <w:r>
              <w:rPr>
                <w:sz w:val="20"/>
              </w:rPr>
              <w:t>1,523,816</w:t>
            </w:r>
          </w:p>
        </w:tc>
        <w:tc>
          <w:tcPr>
            <w:tcW w:w="2880" w:type="dxa"/>
            <w:shd w:val="clear" w:color="auto" w:fill="F2F2F2"/>
            <w:vAlign w:val="center"/>
          </w:tcPr>
          <w:p w:rsidR="004E6834" w:rsidRDefault="006836CB">
            <w:pPr>
              <w:jc w:val="right"/>
            </w:pPr>
            <w:r>
              <w:rPr>
                <w:sz w:val="20"/>
              </w:rPr>
              <w:t>4,209,852</w:t>
            </w:r>
          </w:p>
        </w:tc>
      </w:tr>
      <w:tr w:rsidR="004E6834">
        <w:trPr>
          <w:jc w:val="center"/>
        </w:trPr>
        <w:tc>
          <w:tcPr>
            <w:tcW w:w="5040" w:type="dxa"/>
            <w:shd w:val="clear" w:color="auto" w:fill="FFFFFF"/>
            <w:vAlign w:val="center"/>
          </w:tcPr>
          <w:p w:rsidR="004E6834" w:rsidRDefault="006836CB">
            <w:r>
              <w:rPr>
                <w:sz w:val="20"/>
              </w:rPr>
              <w:t>Add: Depreciation &amp; Amortisation</w:t>
            </w:r>
          </w:p>
        </w:tc>
        <w:tc>
          <w:tcPr>
            <w:tcW w:w="2736" w:type="dxa"/>
            <w:shd w:val="clear" w:color="auto" w:fill="FFFFFF"/>
            <w:vAlign w:val="center"/>
          </w:tcPr>
          <w:p w:rsidR="004E6834" w:rsidRDefault="006836CB">
            <w:pPr>
              <w:jc w:val="right"/>
            </w:pPr>
            <w:r>
              <w:rPr>
                <w:sz w:val="20"/>
              </w:rPr>
              <w:t>661,030</w:t>
            </w:r>
          </w:p>
        </w:tc>
        <w:tc>
          <w:tcPr>
            <w:tcW w:w="2880" w:type="dxa"/>
            <w:shd w:val="clear" w:color="auto" w:fill="FFFFFF"/>
            <w:vAlign w:val="center"/>
          </w:tcPr>
          <w:p w:rsidR="004E6834" w:rsidRDefault="006836CB">
            <w:pPr>
              <w:jc w:val="right"/>
            </w:pPr>
            <w:r>
              <w:rPr>
                <w:sz w:val="20"/>
              </w:rPr>
              <w:t>2,437,131</w:t>
            </w:r>
          </w:p>
        </w:tc>
      </w:tr>
      <w:tr w:rsidR="004E6834">
        <w:trPr>
          <w:jc w:val="center"/>
        </w:trPr>
        <w:tc>
          <w:tcPr>
            <w:tcW w:w="5040" w:type="dxa"/>
            <w:shd w:val="clear" w:color="auto" w:fill="F2F2F2"/>
            <w:vAlign w:val="center"/>
          </w:tcPr>
          <w:p w:rsidR="004E6834" w:rsidRDefault="006836CB">
            <w:r>
              <w:rPr>
                <w:sz w:val="20"/>
              </w:rPr>
              <w:t>Add: Finance Costs</w:t>
            </w:r>
          </w:p>
        </w:tc>
        <w:tc>
          <w:tcPr>
            <w:tcW w:w="2736" w:type="dxa"/>
            <w:shd w:val="clear" w:color="auto" w:fill="F2F2F2"/>
            <w:vAlign w:val="center"/>
          </w:tcPr>
          <w:p w:rsidR="004E6834" w:rsidRDefault="006836CB">
            <w:pPr>
              <w:jc w:val="right"/>
            </w:pPr>
            <w:r>
              <w:rPr>
                <w:sz w:val="20"/>
              </w:rPr>
              <w:t>336,462</w:t>
            </w:r>
          </w:p>
        </w:tc>
        <w:tc>
          <w:tcPr>
            <w:tcW w:w="2880" w:type="dxa"/>
            <w:shd w:val="clear" w:color="auto" w:fill="F2F2F2"/>
            <w:vAlign w:val="center"/>
          </w:tcPr>
          <w:p w:rsidR="004E6834" w:rsidRDefault="006836CB">
            <w:pPr>
              <w:jc w:val="right"/>
            </w:pPr>
            <w:r>
              <w:rPr>
                <w:sz w:val="20"/>
              </w:rPr>
              <w:t>1,190,437</w:t>
            </w:r>
          </w:p>
        </w:tc>
      </w:tr>
      <w:tr w:rsidR="004E6834">
        <w:trPr>
          <w:jc w:val="center"/>
        </w:trPr>
        <w:tc>
          <w:tcPr>
            <w:tcW w:w="5040" w:type="dxa"/>
            <w:shd w:val="clear" w:color="auto" w:fill="FFFFFF"/>
            <w:vAlign w:val="center"/>
          </w:tcPr>
          <w:p w:rsidR="004E6834" w:rsidRDefault="006836CB">
            <w:r>
              <w:rPr>
                <w:b/>
                <w:sz w:val="20"/>
              </w:rPr>
              <w:t>Operating Profit before Working Capital</w:t>
            </w:r>
          </w:p>
        </w:tc>
        <w:tc>
          <w:tcPr>
            <w:tcW w:w="2736" w:type="dxa"/>
            <w:shd w:val="clear" w:color="auto" w:fill="FFFFFF"/>
            <w:vAlign w:val="center"/>
          </w:tcPr>
          <w:p w:rsidR="004E6834" w:rsidRDefault="006836CB">
            <w:pPr>
              <w:jc w:val="right"/>
            </w:pPr>
            <w:r>
              <w:rPr>
                <w:b/>
                <w:sz w:val="20"/>
              </w:rPr>
              <w:t>2,521,308</w:t>
            </w:r>
          </w:p>
        </w:tc>
        <w:tc>
          <w:tcPr>
            <w:tcW w:w="2880" w:type="dxa"/>
            <w:shd w:val="clear" w:color="auto" w:fill="FFFFFF"/>
            <w:vAlign w:val="center"/>
          </w:tcPr>
          <w:p w:rsidR="004E6834" w:rsidRDefault="006836CB">
            <w:pPr>
              <w:jc w:val="right"/>
            </w:pPr>
            <w:r>
              <w:rPr>
                <w:b/>
                <w:sz w:val="20"/>
              </w:rPr>
              <w:t>6,205,574</w:t>
            </w:r>
          </w:p>
        </w:tc>
      </w:tr>
      <w:tr w:rsidR="004E6834">
        <w:trPr>
          <w:jc w:val="center"/>
        </w:trPr>
        <w:tc>
          <w:tcPr>
            <w:tcW w:w="5040" w:type="dxa"/>
            <w:shd w:val="clear" w:color="auto" w:fill="F2F2F2"/>
            <w:vAlign w:val="center"/>
          </w:tcPr>
          <w:p w:rsidR="004E6834" w:rsidRDefault="006836CB">
            <w:r>
              <w:rPr>
                <w:sz w:val="20"/>
              </w:rPr>
              <w:t>(Increase) in Trade Receivables</w:t>
            </w:r>
          </w:p>
        </w:tc>
        <w:tc>
          <w:tcPr>
            <w:tcW w:w="2736" w:type="dxa"/>
            <w:shd w:val="clear" w:color="auto" w:fill="F2F2F2"/>
            <w:vAlign w:val="center"/>
          </w:tcPr>
          <w:p w:rsidR="004E6834" w:rsidRDefault="006836CB">
            <w:pPr>
              <w:jc w:val="right"/>
            </w:pPr>
            <w:r>
              <w:rPr>
                <w:color w:val="C00000"/>
                <w:sz w:val="20"/>
              </w:rPr>
              <w:t>(4,798,779)</w:t>
            </w:r>
          </w:p>
        </w:tc>
        <w:tc>
          <w:tcPr>
            <w:tcW w:w="2880" w:type="dxa"/>
            <w:shd w:val="clear" w:color="auto" w:fill="F2F2F2"/>
            <w:vAlign w:val="center"/>
          </w:tcPr>
          <w:p w:rsidR="004E6834" w:rsidRDefault="006836CB">
            <w:pPr>
              <w:jc w:val="right"/>
            </w:pPr>
            <w:r>
              <w:rPr>
                <w:color w:val="C00000"/>
                <w:sz w:val="20"/>
              </w:rPr>
              <w:t>(5,590,184)</w:t>
            </w:r>
          </w:p>
        </w:tc>
      </w:tr>
      <w:tr w:rsidR="004E6834">
        <w:trPr>
          <w:jc w:val="center"/>
        </w:trPr>
        <w:tc>
          <w:tcPr>
            <w:tcW w:w="5040" w:type="dxa"/>
            <w:shd w:val="clear" w:color="auto" w:fill="FFFFFF"/>
            <w:vAlign w:val="center"/>
          </w:tcPr>
          <w:p w:rsidR="004E6834" w:rsidRDefault="006836CB">
            <w:r>
              <w:rPr>
                <w:sz w:val="20"/>
              </w:rPr>
              <w:t>Increase in Trade Payables</w:t>
            </w:r>
          </w:p>
        </w:tc>
        <w:tc>
          <w:tcPr>
            <w:tcW w:w="2736" w:type="dxa"/>
            <w:shd w:val="clear" w:color="auto" w:fill="FFFFFF"/>
            <w:vAlign w:val="center"/>
          </w:tcPr>
          <w:p w:rsidR="004E6834" w:rsidRDefault="006836CB">
            <w:pPr>
              <w:jc w:val="right"/>
            </w:pPr>
            <w:r>
              <w:rPr>
                <w:b/>
                <w:color w:val="1E7B34"/>
                <w:sz w:val="20"/>
              </w:rPr>
              <w:t>3,035,159</w:t>
            </w:r>
          </w:p>
        </w:tc>
        <w:tc>
          <w:tcPr>
            <w:tcW w:w="2880" w:type="dxa"/>
            <w:shd w:val="clear" w:color="auto" w:fill="FFFFFF"/>
            <w:vAlign w:val="center"/>
          </w:tcPr>
          <w:p w:rsidR="004E6834" w:rsidRDefault="006836CB">
            <w:pPr>
              <w:jc w:val="right"/>
            </w:pPr>
            <w:r>
              <w:rPr>
                <w:b/>
                <w:color w:val="1E7B34"/>
                <w:sz w:val="20"/>
              </w:rPr>
              <w:t>7,367,111</w:t>
            </w:r>
          </w:p>
        </w:tc>
      </w:tr>
      <w:tr w:rsidR="004E6834">
        <w:trPr>
          <w:jc w:val="center"/>
        </w:trPr>
        <w:tc>
          <w:tcPr>
            <w:tcW w:w="5040" w:type="dxa"/>
            <w:shd w:val="clear" w:color="auto" w:fill="F2F2F2"/>
            <w:vAlign w:val="center"/>
          </w:tcPr>
          <w:p w:rsidR="004E6834" w:rsidRDefault="006836CB">
            <w:r>
              <w:rPr>
                <w:sz w:val="20"/>
              </w:rPr>
              <w:t>Decrease in Inventories</w:t>
            </w:r>
          </w:p>
        </w:tc>
        <w:tc>
          <w:tcPr>
            <w:tcW w:w="2736" w:type="dxa"/>
            <w:shd w:val="clear" w:color="auto" w:fill="F2F2F2"/>
            <w:vAlign w:val="center"/>
          </w:tcPr>
          <w:p w:rsidR="004E6834" w:rsidRDefault="006836CB">
            <w:pPr>
              <w:jc w:val="right"/>
            </w:pPr>
            <w:r>
              <w:rPr>
                <w:sz w:val="20"/>
              </w:rPr>
              <w:t>29,144</w:t>
            </w:r>
          </w:p>
        </w:tc>
        <w:tc>
          <w:tcPr>
            <w:tcW w:w="2880" w:type="dxa"/>
            <w:shd w:val="clear" w:color="auto" w:fill="F2F2F2"/>
            <w:vAlign w:val="center"/>
          </w:tcPr>
          <w:p w:rsidR="004E6834" w:rsidRDefault="006836CB">
            <w:pPr>
              <w:jc w:val="right"/>
            </w:pPr>
            <w:r>
              <w:rPr>
                <w:sz w:val="20"/>
              </w:rPr>
              <w:t>96,360</w:t>
            </w:r>
          </w:p>
        </w:tc>
      </w:tr>
      <w:tr w:rsidR="004E6834">
        <w:trPr>
          <w:jc w:val="center"/>
        </w:trPr>
        <w:tc>
          <w:tcPr>
            <w:tcW w:w="5040" w:type="dxa"/>
            <w:shd w:val="clear" w:color="auto" w:fill="FFFFFF"/>
            <w:vAlign w:val="center"/>
          </w:tcPr>
          <w:p w:rsidR="004E6834" w:rsidRDefault="006836CB">
            <w:r>
              <w:rPr>
                <w:sz w:val="20"/>
              </w:rPr>
              <w:t>Less: Finance Costs Paid</w:t>
            </w:r>
          </w:p>
        </w:tc>
        <w:tc>
          <w:tcPr>
            <w:tcW w:w="2736" w:type="dxa"/>
            <w:shd w:val="clear" w:color="auto" w:fill="FFFFFF"/>
            <w:vAlign w:val="center"/>
          </w:tcPr>
          <w:p w:rsidR="004E6834" w:rsidRDefault="006836CB">
            <w:pPr>
              <w:jc w:val="right"/>
            </w:pPr>
            <w:r>
              <w:rPr>
                <w:color w:val="C00000"/>
                <w:sz w:val="20"/>
              </w:rPr>
              <w:t>(336,462)</w:t>
            </w:r>
          </w:p>
        </w:tc>
        <w:tc>
          <w:tcPr>
            <w:tcW w:w="2880" w:type="dxa"/>
            <w:shd w:val="clear" w:color="auto" w:fill="FFFFFF"/>
            <w:vAlign w:val="center"/>
          </w:tcPr>
          <w:p w:rsidR="004E6834" w:rsidRDefault="006836CB">
            <w:pPr>
              <w:jc w:val="right"/>
            </w:pPr>
            <w:r>
              <w:rPr>
                <w:color w:val="C00000"/>
                <w:sz w:val="20"/>
              </w:rPr>
              <w:t>(1,034,312)</w:t>
            </w:r>
          </w:p>
        </w:tc>
      </w:tr>
      <w:tr w:rsidR="004E6834">
        <w:trPr>
          <w:jc w:val="center"/>
        </w:trPr>
        <w:tc>
          <w:tcPr>
            <w:tcW w:w="5040" w:type="dxa"/>
            <w:shd w:val="clear" w:color="auto" w:fill="F2F2F2"/>
            <w:vAlign w:val="center"/>
          </w:tcPr>
          <w:p w:rsidR="004E6834" w:rsidRDefault="006836CB">
            <w:r>
              <w:rPr>
                <w:sz w:val="20"/>
              </w:rPr>
              <w:t>Less: Income Tax Paid</w:t>
            </w:r>
          </w:p>
        </w:tc>
        <w:tc>
          <w:tcPr>
            <w:tcW w:w="2736" w:type="dxa"/>
            <w:shd w:val="clear" w:color="auto" w:fill="F2F2F2"/>
            <w:vAlign w:val="center"/>
          </w:tcPr>
          <w:p w:rsidR="004E6834" w:rsidRDefault="006836CB">
            <w:pPr>
              <w:jc w:val="center"/>
            </w:pPr>
            <w:r>
              <w:rPr>
                <w:sz w:val="20"/>
              </w:rPr>
              <w:t>–</w:t>
            </w:r>
          </w:p>
        </w:tc>
        <w:tc>
          <w:tcPr>
            <w:tcW w:w="2880" w:type="dxa"/>
            <w:shd w:val="clear" w:color="auto" w:fill="F2F2F2"/>
            <w:vAlign w:val="center"/>
          </w:tcPr>
          <w:p w:rsidR="004E6834" w:rsidRDefault="006836CB">
            <w:pPr>
              <w:jc w:val="right"/>
            </w:pPr>
            <w:r>
              <w:rPr>
                <w:color w:val="C00000"/>
                <w:sz w:val="20"/>
              </w:rPr>
              <w:t>(1,075,932)</w:t>
            </w:r>
          </w:p>
        </w:tc>
      </w:tr>
      <w:tr w:rsidR="004E6834">
        <w:trPr>
          <w:jc w:val="center"/>
        </w:trPr>
        <w:tc>
          <w:tcPr>
            <w:tcW w:w="5040" w:type="dxa"/>
            <w:shd w:val="clear" w:color="auto" w:fill="1F3864"/>
            <w:vAlign w:val="center"/>
          </w:tcPr>
          <w:p w:rsidR="004E6834" w:rsidRDefault="006836CB">
            <w:r>
              <w:rPr>
                <w:b/>
                <w:color w:val="FFFFFF"/>
                <w:sz w:val="20"/>
              </w:rPr>
              <w:t>NET CASH FROM OPERATIONS</w:t>
            </w:r>
          </w:p>
        </w:tc>
        <w:tc>
          <w:tcPr>
            <w:tcW w:w="2736" w:type="dxa"/>
            <w:shd w:val="clear" w:color="auto" w:fill="1F3864"/>
            <w:vAlign w:val="center"/>
          </w:tcPr>
          <w:p w:rsidR="004E6834" w:rsidRDefault="006836CB">
            <w:pPr>
              <w:jc w:val="right"/>
            </w:pPr>
            <w:r>
              <w:rPr>
                <w:b/>
                <w:color w:val="FFFFFF"/>
                <w:sz w:val="20"/>
              </w:rPr>
              <w:t>450,371</w:t>
            </w:r>
          </w:p>
        </w:tc>
        <w:tc>
          <w:tcPr>
            <w:tcW w:w="2880" w:type="dxa"/>
            <w:shd w:val="clear" w:color="auto" w:fill="1F3864"/>
            <w:vAlign w:val="center"/>
          </w:tcPr>
          <w:p w:rsidR="004E6834" w:rsidRDefault="006836CB">
            <w:pPr>
              <w:jc w:val="right"/>
            </w:pPr>
            <w:r>
              <w:rPr>
                <w:b/>
                <w:color w:val="FFFFFF"/>
                <w:sz w:val="20"/>
              </w:rPr>
              <w:t>5,968,617</w:t>
            </w:r>
          </w:p>
        </w:tc>
      </w:tr>
      <w:tr w:rsidR="004E6834">
        <w:trPr>
          <w:jc w:val="center"/>
        </w:trPr>
        <w:tc>
          <w:tcPr>
            <w:tcW w:w="5040" w:type="dxa"/>
            <w:shd w:val="clear" w:color="auto" w:fill="F2F2F2"/>
            <w:vAlign w:val="center"/>
          </w:tcPr>
          <w:p w:rsidR="004E6834" w:rsidRDefault="006836CB">
            <w:r>
              <w:rPr>
                <w:sz w:val="20"/>
              </w:rPr>
              <w:t>Capital Expenditure</w:t>
            </w:r>
          </w:p>
        </w:tc>
        <w:tc>
          <w:tcPr>
            <w:tcW w:w="2736" w:type="dxa"/>
            <w:shd w:val="clear" w:color="auto" w:fill="F2F2F2"/>
            <w:vAlign w:val="center"/>
          </w:tcPr>
          <w:p w:rsidR="004E6834" w:rsidRDefault="006836CB">
            <w:pPr>
              <w:jc w:val="right"/>
            </w:pPr>
            <w:r>
              <w:rPr>
                <w:color w:val="C00000"/>
                <w:sz w:val="20"/>
              </w:rPr>
              <w:t>(80,511)</w:t>
            </w:r>
          </w:p>
        </w:tc>
        <w:tc>
          <w:tcPr>
            <w:tcW w:w="2880" w:type="dxa"/>
            <w:shd w:val="clear" w:color="auto" w:fill="F2F2F2"/>
            <w:vAlign w:val="center"/>
          </w:tcPr>
          <w:p w:rsidR="004E6834" w:rsidRDefault="006836CB">
            <w:pPr>
              <w:jc w:val="right"/>
            </w:pPr>
            <w:r>
              <w:rPr>
                <w:color w:val="C00000"/>
                <w:sz w:val="20"/>
              </w:rPr>
              <w:t>(10,289,265)</w:t>
            </w:r>
          </w:p>
        </w:tc>
      </w:tr>
    </w:tbl>
    <w:p w:rsidR="004E6834" w:rsidRDefault="004E6834"/>
    <w:p w:rsidR="004E6834" w:rsidRDefault="006836CB">
      <w:pPr>
        <w:spacing w:after="120"/>
      </w:pPr>
      <w:r>
        <w:t>The dramatic reduction in capital expenditure from US$10,289,265 (FY2025) to US$80,511 (Q1 2026) reflects the completion of large-scale renovation programmes. The Group now enters a phase of harvesting returns on its capital investment, with refurbished properties commanding higher rates and occupancies.</w:t>
      </w:r>
    </w:p>
    <w:p w:rsidR="004E6834" w:rsidRDefault="006836CB">
      <w:r>
        <w:br w:type="page"/>
      </w:r>
    </w:p>
    <w:p w:rsidR="004E6834" w:rsidRDefault="006836CB">
      <w:pPr>
        <w:pBdr>
          <w:bottom w:val="single" w:sz="12" w:space="1" w:color="2E75B6"/>
        </w:pBdr>
        <w:spacing w:before="360" w:after="120"/>
      </w:pPr>
      <w:r>
        <w:rPr>
          <w:b/>
          <w:color w:val="1F3864"/>
          <w:sz w:val="32"/>
        </w:rPr>
        <w:lastRenderedPageBreak/>
        <w:t>10.  DEBTORS ANALYSIS</w:t>
      </w:r>
    </w:p>
    <w:p w:rsidR="004E6834" w:rsidRDefault="006836CB">
      <w:pPr>
        <w:spacing w:before="240" w:after="80"/>
      </w:pPr>
      <w:r>
        <w:rPr>
          <w:b/>
          <w:color w:val="2E75B6"/>
          <w:sz w:val="26"/>
        </w:rPr>
        <w:t>10.1  Debtors Composition</w:t>
      </w:r>
    </w:p>
    <w:p w:rsidR="004E6834" w:rsidRDefault="006836CB">
      <w:pPr>
        <w:spacing w:after="120"/>
      </w:pPr>
      <w:r>
        <w:t xml:space="preserve">Total Group debtors as at 31 March 2026 were approximately </w:t>
      </w:r>
      <w:r>
        <w:rPr>
          <w:b/>
          <w:color w:val="1F3864"/>
        </w:rPr>
        <w:t xml:space="preserve">US$8,055,101 (gross), </w:t>
      </w:r>
      <w:r>
        <w:t>with the composition by segment as follows. Government debtors dominate at 91.2%, with a concerning 47.1% aged beyond 120 days.</w:t>
      </w:r>
    </w:p>
    <w:tbl>
      <w:tblPr>
        <w:tblStyle w:val="TableGrid"/>
        <w:tblW w:w="0" w:type="auto"/>
        <w:jc w:val="center"/>
        <w:tblLook w:val="04A0" w:firstRow="1" w:lastRow="0" w:firstColumn="1" w:lastColumn="0" w:noHBand="0" w:noVBand="1"/>
      </w:tblPr>
      <w:tblGrid>
        <w:gridCol w:w="2533"/>
        <w:gridCol w:w="1973"/>
        <w:gridCol w:w="1689"/>
        <w:gridCol w:w="1698"/>
        <w:gridCol w:w="1683"/>
      </w:tblGrid>
      <w:tr w:rsidR="004E6834">
        <w:trPr>
          <w:jc w:val="center"/>
        </w:trPr>
        <w:tc>
          <w:tcPr>
            <w:tcW w:w="2592" w:type="dxa"/>
            <w:shd w:val="clear" w:color="auto" w:fill="1F3864"/>
            <w:vAlign w:val="center"/>
          </w:tcPr>
          <w:p w:rsidR="004E6834" w:rsidRDefault="006836CB">
            <w:pPr>
              <w:jc w:val="center"/>
            </w:pPr>
            <w:r>
              <w:rPr>
                <w:b/>
                <w:color w:val="FFFFFF"/>
                <w:sz w:val="20"/>
              </w:rPr>
              <w:t>SEGMENT</w:t>
            </w:r>
          </w:p>
        </w:tc>
        <w:tc>
          <w:tcPr>
            <w:tcW w:w="2016" w:type="dxa"/>
            <w:shd w:val="clear" w:color="auto" w:fill="1F3864"/>
            <w:vAlign w:val="center"/>
          </w:tcPr>
          <w:p w:rsidR="004E6834" w:rsidRDefault="006836CB">
            <w:pPr>
              <w:jc w:val="center"/>
            </w:pPr>
            <w:r>
              <w:rPr>
                <w:b/>
                <w:color w:val="FFFFFF"/>
                <w:sz w:val="20"/>
              </w:rPr>
              <w:t>TOTAL (US$)</w:t>
            </w:r>
          </w:p>
        </w:tc>
        <w:tc>
          <w:tcPr>
            <w:tcW w:w="1728" w:type="dxa"/>
            <w:shd w:val="clear" w:color="auto" w:fill="1F3864"/>
            <w:vAlign w:val="center"/>
          </w:tcPr>
          <w:p w:rsidR="004E6834" w:rsidRDefault="006836CB">
            <w:pPr>
              <w:jc w:val="center"/>
            </w:pPr>
            <w:r>
              <w:rPr>
                <w:b/>
                <w:color w:val="FFFFFF"/>
                <w:sz w:val="20"/>
              </w:rPr>
              <w:t>% OF TOTAL</w:t>
            </w:r>
          </w:p>
        </w:tc>
        <w:tc>
          <w:tcPr>
            <w:tcW w:w="1728" w:type="dxa"/>
            <w:shd w:val="clear" w:color="auto" w:fill="1F3864"/>
            <w:vAlign w:val="center"/>
          </w:tcPr>
          <w:p w:rsidR="004E6834" w:rsidRDefault="006836CB">
            <w:pPr>
              <w:jc w:val="center"/>
            </w:pPr>
            <w:r>
              <w:rPr>
                <w:b/>
                <w:color w:val="FFFFFF"/>
                <w:sz w:val="20"/>
              </w:rPr>
              <w:t>% CURRENT</w:t>
            </w:r>
          </w:p>
        </w:tc>
        <w:tc>
          <w:tcPr>
            <w:tcW w:w="1728" w:type="dxa"/>
            <w:shd w:val="clear" w:color="auto" w:fill="1F3864"/>
            <w:vAlign w:val="center"/>
          </w:tcPr>
          <w:p w:rsidR="004E6834" w:rsidRDefault="006836CB">
            <w:pPr>
              <w:jc w:val="center"/>
            </w:pPr>
            <w:r>
              <w:rPr>
                <w:b/>
                <w:color w:val="FFFFFF"/>
                <w:sz w:val="20"/>
              </w:rPr>
              <w:t>&gt;120 DAYS</w:t>
            </w:r>
          </w:p>
        </w:tc>
      </w:tr>
      <w:tr w:rsidR="004E6834">
        <w:trPr>
          <w:jc w:val="center"/>
        </w:trPr>
        <w:tc>
          <w:tcPr>
            <w:tcW w:w="2592" w:type="dxa"/>
            <w:shd w:val="clear" w:color="auto" w:fill="F2F2F2"/>
            <w:vAlign w:val="center"/>
          </w:tcPr>
          <w:p w:rsidR="004E6834" w:rsidRDefault="006836CB">
            <w:r>
              <w:rPr>
                <w:b/>
                <w:sz w:val="20"/>
              </w:rPr>
              <w:t>Government</w:t>
            </w:r>
          </w:p>
        </w:tc>
        <w:tc>
          <w:tcPr>
            <w:tcW w:w="2016" w:type="dxa"/>
            <w:shd w:val="clear" w:color="auto" w:fill="F2F2F2"/>
            <w:vAlign w:val="center"/>
          </w:tcPr>
          <w:p w:rsidR="004E6834" w:rsidRDefault="006836CB">
            <w:pPr>
              <w:jc w:val="right"/>
            </w:pPr>
            <w:r>
              <w:rPr>
                <w:sz w:val="20"/>
              </w:rPr>
              <w:t>7,344,966</w:t>
            </w:r>
          </w:p>
        </w:tc>
        <w:tc>
          <w:tcPr>
            <w:tcW w:w="1728" w:type="dxa"/>
            <w:shd w:val="clear" w:color="auto" w:fill="F2F2F2"/>
            <w:vAlign w:val="center"/>
          </w:tcPr>
          <w:p w:rsidR="004E6834" w:rsidRDefault="006836CB">
            <w:pPr>
              <w:jc w:val="center"/>
            </w:pPr>
            <w:r>
              <w:rPr>
                <w:sz w:val="20"/>
              </w:rPr>
              <w:t>91.2%</w:t>
            </w:r>
          </w:p>
        </w:tc>
        <w:tc>
          <w:tcPr>
            <w:tcW w:w="1728" w:type="dxa"/>
            <w:shd w:val="clear" w:color="auto" w:fill="F2F2F2"/>
            <w:vAlign w:val="center"/>
          </w:tcPr>
          <w:p w:rsidR="004E6834" w:rsidRDefault="006836CB">
            <w:pPr>
              <w:jc w:val="center"/>
            </w:pPr>
            <w:r>
              <w:rPr>
                <w:color w:val="C00000"/>
                <w:sz w:val="20"/>
              </w:rPr>
              <w:t>11.6%</w:t>
            </w:r>
          </w:p>
        </w:tc>
        <w:tc>
          <w:tcPr>
            <w:tcW w:w="1728" w:type="dxa"/>
            <w:shd w:val="clear" w:color="auto" w:fill="F2F2F2"/>
            <w:vAlign w:val="center"/>
          </w:tcPr>
          <w:p w:rsidR="004E6834" w:rsidRDefault="006836CB">
            <w:pPr>
              <w:jc w:val="center"/>
            </w:pPr>
            <w:r>
              <w:rPr>
                <w:b/>
                <w:color w:val="C00000"/>
                <w:sz w:val="20"/>
              </w:rPr>
              <w:t>47.1%</w:t>
            </w:r>
          </w:p>
        </w:tc>
      </w:tr>
      <w:tr w:rsidR="004E6834">
        <w:trPr>
          <w:jc w:val="center"/>
        </w:trPr>
        <w:tc>
          <w:tcPr>
            <w:tcW w:w="2592" w:type="dxa"/>
            <w:shd w:val="clear" w:color="auto" w:fill="FFFFFF"/>
            <w:vAlign w:val="center"/>
          </w:tcPr>
          <w:p w:rsidR="004E6834" w:rsidRDefault="006836CB">
            <w:r>
              <w:rPr>
                <w:b/>
                <w:sz w:val="20"/>
              </w:rPr>
              <w:t>Tour Groups</w:t>
            </w:r>
          </w:p>
        </w:tc>
        <w:tc>
          <w:tcPr>
            <w:tcW w:w="2016" w:type="dxa"/>
            <w:shd w:val="clear" w:color="auto" w:fill="FFFFFF"/>
            <w:vAlign w:val="center"/>
          </w:tcPr>
          <w:p w:rsidR="004E6834" w:rsidRDefault="006836CB">
            <w:pPr>
              <w:jc w:val="right"/>
            </w:pPr>
            <w:r>
              <w:rPr>
                <w:sz w:val="20"/>
              </w:rPr>
              <w:t>385,516</w:t>
            </w:r>
          </w:p>
        </w:tc>
        <w:tc>
          <w:tcPr>
            <w:tcW w:w="1728" w:type="dxa"/>
            <w:shd w:val="clear" w:color="auto" w:fill="FFFFFF"/>
            <w:vAlign w:val="center"/>
          </w:tcPr>
          <w:p w:rsidR="004E6834" w:rsidRDefault="006836CB">
            <w:pPr>
              <w:jc w:val="center"/>
            </w:pPr>
            <w:r>
              <w:rPr>
                <w:sz w:val="20"/>
              </w:rPr>
              <w:t>4.8%</w:t>
            </w:r>
          </w:p>
        </w:tc>
        <w:tc>
          <w:tcPr>
            <w:tcW w:w="1728" w:type="dxa"/>
            <w:shd w:val="clear" w:color="auto" w:fill="FFFFFF"/>
            <w:vAlign w:val="center"/>
          </w:tcPr>
          <w:p w:rsidR="004E6834" w:rsidRDefault="006836CB">
            <w:pPr>
              <w:jc w:val="center"/>
            </w:pPr>
            <w:r>
              <w:rPr>
                <w:b/>
                <w:color w:val="1E7B34"/>
                <w:sz w:val="20"/>
              </w:rPr>
              <w:t>73.4%</w:t>
            </w:r>
          </w:p>
        </w:tc>
        <w:tc>
          <w:tcPr>
            <w:tcW w:w="1728" w:type="dxa"/>
            <w:shd w:val="clear" w:color="auto" w:fill="FFFFFF"/>
            <w:vAlign w:val="center"/>
          </w:tcPr>
          <w:p w:rsidR="004E6834" w:rsidRDefault="006836CB">
            <w:pPr>
              <w:jc w:val="center"/>
            </w:pPr>
            <w:r>
              <w:rPr>
                <w:sz w:val="20"/>
              </w:rPr>
              <w:t>3.5%</w:t>
            </w:r>
          </w:p>
        </w:tc>
      </w:tr>
      <w:tr w:rsidR="004E6834">
        <w:trPr>
          <w:jc w:val="center"/>
        </w:trPr>
        <w:tc>
          <w:tcPr>
            <w:tcW w:w="2592" w:type="dxa"/>
            <w:shd w:val="clear" w:color="auto" w:fill="F2F2F2"/>
            <w:vAlign w:val="center"/>
          </w:tcPr>
          <w:p w:rsidR="004E6834" w:rsidRDefault="006836CB">
            <w:r>
              <w:rPr>
                <w:b/>
                <w:sz w:val="20"/>
              </w:rPr>
              <w:t>NGOs</w:t>
            </w:r>
          </w:p>
        </w:tc>
        <w:tc>
          <w:tcPr>
            <w:tcW w:w="2016" w:type="dxa"/>
            <w:shd w:val="clear" w:color="auto" w:fill="F2F2F2"/>
            <w:vAlign w:val="center"/>
          </w:tcPr>
          <w:p w:rsidR="004E6834" w:rsidRDefault="006836CB">
            <w:pPr>
              <w:jc w:val="right"/>
            </w:pPr>
            <w:r>
              <w:rPr>
                <w:sz w:val="20"/>
              </w:rPr>
              <w:t>180,484</w:t>
            </w:r>
          </w:p>
        </w:tc>
        <w:tc>
          <w:tcPr>
            <w:tcW w:w="1728" w:type="dxa"/>
            <w:shd w:val="clear" w:color="auto" w:fill="F2F2F2"/>
            <w:vAlign w:val="center"/>
          </w:tcPr>
          <w:p w:rsidR="004E6834" w:rsidRDefault="006836CB">
            <w:pPr>
              <w:jc w:val="center"/>
            </w:pPr>
            <w:r>
              <w:rPr>
                <w:sz w:val="20"/>
              </w:rPr>
              <w:t>2.2%</w:t>
            </w:r>
          </w:p>
        </w:tc>
        <w:tc>
          <w:tcPr>
            <w:tcW w:w="1728" w:type="dxa"/>
            <w:shd w:val="clear" w:color="auto" w:fill="F2F2F2"/>
            <w:vAlign w:val="center"/>
          </w:tcPr>
          <w:p w:rsidR="004E6834" w:rsidRDefault="006836CB">
            <w:pPr>
              <w:jc w:val="center"/>
            </w:pPr>
            <w:r>
              <w:rPr>
                <w:b/>
                <w:color w:val="1E7B34"/>
                <w:sz w:val="20"/>
              </w:rPr>
              <w:t>67.8%</w:t>
            </w:r>
          </w:p>
        </w:tc>
        <w:tc>
          <w:tcPr>
            <w:tcW w:w="1728" w:type="dxa"/>
            <w:shd w:val="clear" w:color="auto" w:fill="F2F2F2"/>
            <w:vAlign w:val="center"/>
          </w:tcPr>
          <w:p w:rsidR="004E6834" w:rsidRDefault="006836CB">
            <w:pPr>
              <w:jc w:val="center"/>
            </w:pPr>
            <w:r>
              <w:rPr>
                <w:sz w:val="20"/>
              </w:rPr>
              <w:t>2.7%</w:t>
            </w:r>
          </w:p>
        </w:tc>
      </w:tr>
      <w:tr w:rsidR="004E6834">
        <w:trPr>
          <w:jc w:val="center"/>
        </w:trPr>
        <w:tc>
          <w:tcPr>
            <w:tcW w:w="2592" w:type="dxa"/>
            <w:shd w:val="clear" w:color="auto" w:fill="FFFFFF"/>
            <w:vAlign w:val="center"/>
          </w:tcPr>
          <w:p w:rsidR="004E6834" w:rsidRDefault="006836CB">
            <w:r>
              <w:rPr>
                <w:b/>
                <w:sz w:val="20"/>
              </w:rPr>
              <w:t>Companies</w:t>
            </w:r>
          </w:p>
        </w:tc>
        <w:tc>
          <w:tcPr>
            <w:tcW w:w="2016" w:type="dxa"/>
            <w:shd w:val="clear" w:color="auto" w:fill="FFFFFF"/>
            <w:vAlign w:val="center"/>
          </w:tcPr>
          <w:p w:rsidR="004E6834" w:rsidRDefault="006836CB">
            <w:pPr>
              <w:jc w:val="right"/>
            </w:pPr>
            <w:r>
              <w:rPr>
                <w:sz w:val="20"/>
              </w:rPr>
              <w:t>130,423</w:t>
            </w:r>
          </w:p>
        </w:tc>
        <w:tc>
          <w:tcPr>
            <w:tcW w:w="1728" w:type="dxa"/>
            <w:shd w:val="clear" w:color="auto" w:fill="FFFFFF"/>
            <w:vAlign w:val="center"/>
          </w:tcPr>
          <w:p w:rsidR="004E6834" w:rsidRDefault="006836CB">
            <w:pPr>
              <w:jc w:val="center"/>
            </w:pPr>
            <w:r>
              <w:rPr>
                <w:sz w:val="20"/>
              </w:rPr>
              <w:t>1.6%</w:t>
            </w:r>
          </w:p>
        </w:tc>
        <w:tc>
          <w:tcPr>
            <w:tcW w:w="1728" w:type="dxa"/>
            <w:shd w:val="clear" w:color="auto" w:fill="FFFFFF"/>
            <w:vAlign w:val="center"/>
          </w:tcPr>
          <w:p w:rsidR="004E6834" w:rsidRDefault="006836CB">
            <w:pPr>
              <w:jc w:val="center"/>
            </w:pPr>
            <w:r>
              <w:rPr>
                <w:sz w:val="20"/>
              </w:rPr>
              <w:t>37.7%</w:t>
            </w:r>
          </w:p>
        </w:tc>
        <w:tc>
          <w:tcPr>
            <w:tcW w:w="1728" w:type="dxa"/>
            <w:shd w:val="clear" w:color="auto" w:fill="FFFFFF"/>
            <w:vAlign w:val="center"/>
          </w:tcPr>
          <w:p w:rsidR="004E6834" w:rsidRDefault="006836CB">
            <w:pPr>
              <w:jc w:val="center"/>
            </w:pPr>
            <w:r>
              <w:rPr>
                <w:color w:val="BF8F00"/>
                <w:sz w:val="20"/>
              </w:rPr>
              <w:t>27.6%</w:t>
            </w:r>
          </w:p>
        </w:tc>
      </w:tr>
      <w:tr w:rsidR="004E6834">
        <w:trPr>
          <w:jc w:val="center"/>
        </w:trPr>
        <w:tc>
          <w:tcPr>
            <w:tcW w:w="2592" w:type="dxa"/>
            <w:shd w:val="clear" w:color="auto" w:fill="F2F2F2"/>
            <w:vAlign w:val="center"/>
          </w:tcPr>
          <w:p w:rsidR="004E6834" w:rsidRDefault="006836CB">
            <w:r>
              <w:rPr>
                <w:b/>
                <w:sz w:val="20"/>
              </w:rPr>
              <w:t>Individuals &amp; Tenants</w:t>
            </w:r>
          </w:p>
        </w:tc>
        <w:tc>
          <w:tcPr>
            <w:tcW w:w="2016" w:type="dxa"/>
            <w:shd w:val="clear" w:color="auto" w:fill="F2F2F2"/>
            <w:vAlign w:val="center"/>
          </w:tcPr>
          <w:p w:rsidR="004E6834" w:rsidRDefault="006836CB">
            <w:pPr>
              <w:jc w:val="right"/>
            </w:pPr>
            <w:r>
              <w:rPr>
                <w:sz w:val="20"/>
              </w:rPr>
              <w:t>13,712</w:t>
            </w:r>
          </w:p>
        </w:tc>
        <w:tc>
          <w:tcPr>
            <w:tcW w:w="1728" w:type="dxa"/>
            <w:shd w:val="clear" w:color="auto" w:fill="F2F2F2"/>
            <w:vAlign w:val="center"/>
          </w:tcPr>
          <w:p w:rsidR="004E6834" w:rsidRDefault="006836CB">
            <w:pPr>
              <w:jc w:val="center"/>
            </w:pPr>
            <w:r>
              <w:rPr>
                <w:sz w:val="20"/>
              </w:rPr>
              <w:t>0.2%</w:t>
            </w:r>
          </w:p>
        </w:tc>
        <w:tc>
          <w:tcPr>
            <w:tcW w:w="1728" w:type="dxa"/>
            <w:shd w:val="clear" w:color="auto" w:fill="F2F2F2"/>
            <w:vAlign w:val="center"/>
          </w:tcPr>
          <w:p w:rsidR="004E6834" w:rsidRDefault="006836CB">
            <w:pPr>
              <w:jc w:val="center"/>
            </w:pPr>
            <w:r>
              <w:rPr>
                <w:b/>
                <w:color w:val="1E7B34"/>
                <w:sz w:val="20"/>
              </w:rPr>
              <w:t>100.0%</w:t>
            </w:r>
          </w:p>
        </w:tc>
        <w:tc>
          <w:tcPr>
            <w:tcW w:w="1728" w:type="dxa"/>
            <w:shd w:val="clear" w:color="auto" w:fill="F2F2F2"/>
            <w:vAlign w:val="center"/>
          </w:tcPr>
          <w:p w:rsidR="004E6834" w:rsidRDefault="006836CB">
            <w:pPr>
              <w:jc w:val="center"/>
            </w:pPr>
            <w:r>
              <w:rPr>
                <w:sz w:val="20"/>
              </w:rPr>
              <w:t>0.0%</w:t>
            </w:r>
          </w:p>
        </w:tc>
      </w:tr>
      <w:tr w:rsidR="004E6834">
        <w:trPr>
          <w:jc w:val="center"/>
        </w:trPr>
        <w:tc>
          <w:tcPr>
            <w:tcW w:w="2592" w:type="dxa"/>
            <w:shd w:val="clear" w:color="auto" w:fill="1F3864"/>
            <w:vAlign w:val="center"/>
          </w:tcPr>
          <w:p w:rsidR="004E6834" w:rsidRDefault="006836CB">
            <w:r>
              <w:rPr>
                <w:b/>
                <w:color w:val="FFFFFF"/>
                <w:sz w:val="20"/>
              </w:rPr>
              <w:t>TOTAL</w:t>
            </w:r>
          </w:p>
        </w:tc>
        <w:tc>
          <w:tcPr>
            <w:tcW w:w="2016" w:type="dxa"/>
            <w:shd w:val="clear" w:color="auto" w:fill="1F3864"/>
            <w:vAlign w:val="center"/>
          </w:tcPr>
          <w:p w:rsidR="004E6834" w:rsidRDefault="006836CB">
            <w:pPr>
              <w:jc w:val="right"/>
            </w:pPr>
            <w:r>
              <w:rPr>
                <w:b/>
                <w:color w:val="FFFFFF"/>
                <w:sz w:val="20"/>
              </w:rPr>
              <w:t>8,055,101</w:t>
            </w:r>
          </w:p>
        </w:tc>
        <w:tc>
          <w:tcPr>
            <w:tcW w:w="1728" w:type="dxa"/>
            <w:shd w:val="clear" w:color="auto" w:fill="1F3864"/>
            <w:vAlign w:val="center"/>
          </w:tcPr>
          <w:p w:rsidR="004E6834" w:rsidRDefault="006836CB">
            <w:pPr>
              <w:jc w:val="center"/>
            </w:pPr>
            <w:r>
              <w:rPr>
                <w:b/>
                <w:color w:val="FFFFFF"/>
                <w:sz w:val="20"/>
              </w:rPr>
              <w:t>100.0%</w:t>
            </w:r>
          </w:p>
        </w:tc>
        <w:tc>
          <w:tcPr>
            <w:tcW w:w="1728" w:type="dxa"/>
            <w:shd w:val="clear" w:color="auto" w:fill="1F3864"/>
            <w:vAlign w:val="center"/>
          </w:tcPr>
          <w:p w:rsidR="004E6834" w:rsidRDefault="006836CB">
            <w:pPr>
              <w:jc w:val="center"/>
            </w:pPr>
            <w:r>
              <w:rPr>
                <w:b/>
                <w:color w:val="FFFFFF"/>
                <w:sz w:val="20"/>
              </w:rPr>
              <w:t>16.4%</w:t>
            </w:r>
          </w:p>
        </w:tc>
        <w:tc>
          <w:tcPr>
            <w:tcW w:w="1728" w:type="dxa"/>
            <w:shd w:val="clear" w:color="auto" w:fill="1F3864"/>
            <w:vAlign w:val="center"/>
          </w:tcPr>
          <w:p w:rsidR="004E6834" w:rsidRDefault="006836CB">
            <w:pPr>
              <w:jc w:val="center"/>
            </w:pPr>
            <w:r>
              <w:rPr>
                <w:b/>
                <w:color w:val="FFFFFF"/>
                <w:sz w:val="20"/>
              </w:rPr>
              <w:t>43.6%</w:t>
            </w:r>
          </w:p>
        </w:tc>
      </w:tr>
    </w:tbl>
    <w:p w:rsidR="004E6834" w:rsidRDefault="004E6834"/>
    <w:p w:rsidR="004E6834" w:rsidRDefault="006836CB">
      <w:pPr>
        <w:spacing w:before="240" w:after="80"/>
      </w:pPr>
      <w:r>
        <w:rPr>
          <w:b/>
          <w:color w:val="2E75B6"/>
          <w:sz w:val="26"/>
        </w:rPr>
        <w:t>10.2  Government Debtors — Top Balances</w:t>
      </w:r>
    </w:p>
    <w:p w:rsidR="004E6834" w:rsidRDefault="006836CB">
      <w:pPr>
        <w:spacing w:after="120"/>
      </w:pPr>
      <w:r>
        <w:t xml:space="preserve">The Office of the President is the Group's single largest debtor at </w:t>
      </w:r>
      <w:r>
        <w:rPr>
          <w:b/>
          <w:color w:val="C00000"/>
        </w:rPr>
        <w:t xml:space="preserve">US$3,619,058 </w:t>
      </w:r>
      <w:r>
        <w:t>(44.9% of all government debt). The top five government debtors are:</w:t>
      </w:r>
    </w:p>
    <w:tbl>
      <w:tblPr>
        <w:tblStyle w:val="TableGrid"/>
        <w:tblW w:w="0" w:type="auto"/>
        <w:jc w:val="center"/>
        <w:tblLook w:val="04A0" w:firstRow="1" w:lastRow="0" w:firstColumn="1" w:lastColumn="0" w:noHBand="0" w:noVBand="1"/>
      </w:tblPr>
      <w:tblGrid>
        <w:gridCol w:w="426"/>
        <w:gridCol w:w="3309"/>
        <w:gridCol w:w="1950"/>
        <w:gridCol w:w="1952"/>
        <w:gridCol w:w="1939"/>
      </w:tblGrid>
      <w:tr w:rsidR="004E6834">
        <w:trPr>
          <w:jc w:val="center"/>
        </w:trPr>
        <w:tc>
          <w:tcPr>
            <w:tcW w:w="432" w:type="dxa"/>
            <w:shd w:val="clear" w:color="auto" w:fill="1F3864"/>
            <w:vAlign w:val="center"/>
          </w:tcPr>
          <w:p w:rsidR="004E6834" w:rsidRDefault="006836CB">
            <w:pPr>
              <w:jc w:val="center"/>
            </w:pPr>
            <w:r>
              <w:rPr>
                <w:b/>
                <w:color w:val="FFFFFF"/>
                <w:sz w:val="20"/>
              </w:rPr>
              <w:t>#</w:t>
            </w:r>
          </w:p>
        </w:tc>
        <w:tc>
          <w:tcPr>
            <w:tcW w:w="3456" w:type="dxa"/>
            <w:shd w:val="clear" w:color="auto" w:fill="1F3864"/>
            <w:vAlign w:val="center"/>
          </w:tcPr>
          <w:p w:rsidR="004E6834" w:rsidRDefault="006836CB">
            <w:pPr>
              <w:jc w:val="center"/>
            </w:pPr>
            <w:r>
              <w:rPr>
                <w:b/>
                <w:color w:val="FFFFFF"/>
                <w:sz w:val="20"/>
              </w:rPr>
              <w:t>DEBTOR</w:t>
            </w:r>
          </w:p>
        </w:tc>
        <w:tc>
          <w:tcPr>
            <w:tcW w:w="2016" w:type="dxa"/>
            <w:shd w:val="clear" w:color="auto" w:fill="1F3864"/>
            <w:vAlign w:val="center"/>
          </w:tcPr>
          <w:p w:rsidR="004E6834" w:rsidRDefault="006836CB">
            <w:pPr>
              <w:jc w:val="center"/>
            </w:pPr>
            <w:r>
              <w:rPr>
                <w:b/>
                <w:color w:val="FFFFFF"/>
                <w:sz w:val="20"/>
              </w:rPr>
              <w:t>TOTAL DUE (US$)</w:t>
            </w:r>
          </w:p>
        </w:tc>
        <w:tc>
          <w:tcPr>
            <w:tcW w:w="2016" w:type="dxa"/>
            <w:shd w:val="clear" w:color="auto" w:fill="1F3864"/>
            <w:vAlign w:val="center"/>
          </w:tcPr>
          <w:p w:rsidR="004E6834" w:rsidRDefault="006836CB">
            <w:pPr>
              <w:jc w:val="center"/>
            </w:pPr>
            <w:r>
              <w:rPr>
                <w:b/>
                <w:color w:val="FFFFFF"/>
                <w:sz w:val="20"/>
              </w:rPr>
              <w:t>CURRENT (US$)</w:t>
            </w:r>
          </w:p>
        </w:tc>
        <w:tc>
          <w:tcPr>
            <w:tcW w:w="2016" w:type="dxa"/>
            <w:shd w:val="clear" w:color="auto" w:fill="1F3864"/>
            <w:vAlign w:val="center"/>
          </w:tcPr>
          <w:p w:rsidR="004E6834" w:rsidRDefault="006836CB">
            <w:pPr>
              <w:jc w:val="center"/>
            </w:pPr>
            <w:r>
              <w:rPr>
                <w:b/>
                <w:color w:val="FFFFFF"/>
                <w:sz w:val="20"/>
              </w:rPr>
              <w:t>&gt;120 DAYS (US$)</w:t>
            </w:r>
          </w:p>
        </w:tc>
      </w:tr>
      <w:tr w:rsidR="004E6834">
        <w:trPr>
          <w:jc w:val="center"/>
        </w:trPr>
        <w:tc>
          <w:tcPr>
            <w:tcW w:w="432" w:type="dxa"/>
            <w:shd w:val="clear" w:color="auto" w:fill="F2F2F2"/>
            <w:vAlign w:val="center"/>
          </w:tcPr>
          <w:p w:rsidR="004E6834" w:rsidRDefault="006836CB">
            <w:pPr>
              <w:jc w:val="center"/>
            </w:pPr>
            <w:r>
              <w:rPr>
                <w:sz w:val="20"/>
              </w:rPr>
              <w:t>1</w:t>
            </w:r>
          </w:p>
        </w:tc>
        <w:tc>
          <w:tcPr>
            <w:tcW w:w="3456" w:type="dxa"/>
            <w:shd w:val="clear" w:color="auto" w:fill="F2F2F2"/>
            <w:vAlign w:val="center"/>
          </w:tcPr>
          <w:p w:rsidR="004E6834" w:rsidRDefault="006836CB">
            <w:r>
              <w:rPr>
                <w:b/>
                <w:sz w:val="20"/>
              </w:rPr>
              <w:t>Office of the President</w:t>
            </w:r>
          </w:p>
        </w:tc>
        <w:tc>
          <w:tcPr>
            <w:tcW w:w="2016" w:type="dxa"/>
            <w:shd w:val="clear" w:color="auto" w:fill="F2F2F2"/>
            <w:vAlign w:val="center"/>
          </w:tcPr>
          <w:p w:rsidR="004E6834" w:rsidRDefault="006836CB">
            <w:pPr>
              <w:jc w:val="right"/>
            </w:pPr>
            <w:r>
              <w:rPr>
                <w:sz w:val="20"/>
              </w:rPr>
              <w:t>3,619,058</w:t>
            </w:r>
          </w:p>
        </w:tc>
        <w:tc>
          <w:tcPr>
            <w:tcW w:w="2016" w:type="dxa"/>
            <w:shd w:val="clear" w:color="auto" w:fill="F2F2F2"/>
            <w:vAlign w:val="center"/>
          </w:tcPr>
          <w:p w:rsidR="004E6834" w:rsidRDefault="006836CB">
            <w:pPr>
              <w:jc w:val="right"/>
            </w:pPr>
            <w:r>
              <w:rPr>
                <w:sz w:val="20"/>
              </w:rPr>
              <w:t>463,208</w:t>
            </w:r>
          </w:p>
        </w:tc>
        <w:tc>
          <w:tcPr>
            <w:tcW w:w="2016" w:type="dxa"/>
            <w:shd w:val="clear" w:color="auto" w:fill="F2F2F2"/>
            <w:vAlign w:val="center"/>
          </w:tcPr>
          <w:p w:rsidR="004E6834" w:rsidRDefault="006836CB">
            <w:pPr>
              <w:jc w:val="right"/>
            </w:pPr>
            <w:r>
              <w:rPr>
                <w:color w:val="C00000"/>
                <w:sz w:val="20"/>
              </w:rPr>
              <w:t>289,619</w:t>
            </w:r>
          </w:p>
        </w:tc>
      </w:tr>
      <w:tr w:rsidR="004E6834">
        <w:trPr>
          <w:jc w:val="center"/>
        </w:trPr>
        <w:tc>
          <w:tcPr>
            <w:tcW w:w="432" w:type="dxa"/>
            <w:shd w:val="clear" w:color="auto" w:fill="FFFFFF"/>
            <w:vAlign w:val="center"/>
          </w:tcPr>
          <w:p w:rsidR="004E6834" w:rsidRDefault="006836CB">
            <w:pPr>
              <w:jc w:val="center"/>
            </w:pPr>
            <w:r>
              <w:rPr>
                <w:sz w:val="20"/>
              </w:rPr>
              <w:t>2</w:t>
            </w:r>
          </w:p>
        </w:tc>
        <w:tc>
          <w:tcPr>
            <w:tcW w:w="3456" w:type="dxa"/>
            <w:shd w:val="clear" w:color="auto" w:fill="FFFFFF"/>
            <w:vAlign w:val="center"/>
          </w:tcPr>
          <w:p w:rsidR="004E6834" w:rsidRDefault="006836CB">
            <w:r>
              <w:rPr>
                <w:b/>
                <w:sz w:val="20"/>
              </w:rPr>
              <w:t>Judicial Service Commission</w:t>
            </w:r>
          </w:p>
        </w:tc>
        <w:tc>
          <w:tcPr>
            <w:tcW w:w="2016" w:type="dxa"/>
            <w:shd w:val="clear" w:color="auto" w:fill="FFFFFF"/>
            <w:vAlign w:val="center"/>
          </w:tcPr>
          <w:p w:rsidR="004E6834" w:rsidRDefault="006836CB">
            <w:pPr>
              <w:jc w:val="right"/>
            </w:pPr>
            <w:r>
              <w:rPr>
                <w:sz w:val="20"/>
              </w:rPr>
              <w:t>831,551</w:t>
            </w:r>
          </w:p>
        </w:tc>
        <w:tc>
          <w:tcPr>
            <w:tcW w:w="2016" w:type="dxa"/>
            <w:shd w:val="clear" w:color="auto" w:fill="FFFFFF"/>
            <w:vAlign w:val="center"/>
          </w:tcPr>
          <w:p w:rsidR="004E6834" w:rsidRDefault="006836CB">
            <w:pPr>
              <w:jc w:val="right"/>
            </w:pPr>
            <w:r>
              <w:rPr>
                <w:sz w:val="20"/>
              </w:rPr>
              <w:t>75,694</w:t>
            </w:r>
          </w:p>
        </w:tc>
        <w:tc>
          <w:tcPr>
            <w:tcW w:w="2016" w:type="dxa"/>
            <w:shd w:val="clear" w:color="auto" w:fill="FFFFFF"/>
            <w:vAlign w:val="center"/>
          </w:tcPr>
          <w:p w:rsidR="004E6834" w:rsidRDefault="006836CB">
            <w:pPr>
              <w:jc w:val="right"/>
            </w:pPr>
            <w:r>
              <w:rPr>
                <w:color w:val="C00000"/>
                <w:sz w:val="20"/>
              </w:rPr>
              <w:t>433,646</w:t>
            </w:r>
          </w:p>
        </w:tc>
      </w:tr>
      <w:tr w:rsidR="004E6834">
        <w:trPr>
          <w:jc w:val="center"/>
        </w:trPr>
        <w:tc>
          <w:tcPr>
            <w:tcW w:w="432" w:type="dxa"/>
            <w:shd w:val="clear" w:color="auto" w:fill="F2F2F2"/>
            <w:vAlign w:val="center"/>
          </w:tcPr>
          <w:p w:rsidR="004E6834" w:rsidRDefault="006836CB">
            <w:pPr>
              <w:jc w:val="center"/>
            </w:pPr>
            <w:r>
              <w:rPr>
                <w:sz w:val="20"/>
              </w:rPr>
              <w:t>3</w:t>
            </w:r>
          </w:p>
        </w:tc>
        <w:tc>
          <w:tcPr>
            <w:tcW w:w="3456" w:type="dxa"/>
            <w:shd w:val="clear" w:color="auto" w:fill="F2F2F2"/>
            <w:vAlign w:val="center"/>
          </w:tcPr>
          <w:p w:rsidR="004E6834" w:rsidRDefault="006836CB">
            <w:r>
              <w:rPr>
                <w:b/>
                <w:sz w:val="20"/>
              </w:rPr>
              <w:t>Ministry of Local Government</w:t>
            </w:r>
          </w:p>
        </w:tc>
        <w:tc>
          <w:tcPr>
            <w:tcW w:w="2016" w:type="dxa"/>
            <w:shd w:val="clear" w:color="auto" w:fill="F2F2F2"/>
            <w:vAlign w:val="center"/>
          </w:tcPr>
          <w:p w:rsidR="004E6834" w:rsidRDefault="006836CB">
            <w:pPr>
              <w:jc w:val="right"/>
            </w:pPr>
            <w:r>
              <w:rPr>
                <w:sz w:val="20"/>
              </w:rPr>
              <w:t>542,728</w:t>
            </w:r>
          </w:p>
        </w:tc>
        <w:tc>
          <w:tcPr>
            <w:tcW w:w="2016" w:type="dxa"/>
            <w:shd w:val="clear" w:color="auto" w:fill="F2F2F2"/>
            <w:vAlign w:val="center"/>
          </w:tcPr>
          <w:p w:rsidR="004E6834" w:rsidRDefault="006836CB">
            <w:pPr>
              <w:jc w:val="right"/>
            </w:pPr>
            <w:r>
              <w:rPr>
                <w:sz w:val="20"/>
              </w:rPr>
              <w:t>258,493</w:t>
            </w:r>
          </w:p>
        </w:tc>
        <w:tc>
          <w:tcPr>
            <w:tcW w:w="2016" w:type="dxa"/>
            <w:shd w:val="clear" w:color="auto" w:fill="F2F2F2"/>
            <w:vAlign w:val="center"/>
          </w:tcPr>
          <w:p w:rsidR="004E6834" w:rsidRDefault="006836CB">
            <w:pPr>
              <w:jc w:val="right"/>
            </w:pPr>
            <w:r>
              <w:rPr>
                <w:color w:val="C00000"/>
                <w:sz w:val="20"/>
              </w:rPr>
              <w:t>177,055</w:t>
            </w:r>
          </w:p>
        </w:tc>
      </w:tr>
      <w:tr w:rsidR="004E6834">
        <w:trPr>
          <w:jc w:val="center"/>
        </w:trPr>
        <w:tc>
          <w:tcPr>
            <w:tcW w:w="432" w:type="dxa"/>
            <w:shd w:val="clear" w:color="auto" w:fill="FFFFFF"/>
            <w:vAlign w:val="center"/>
          </w:tcPr>
          <w:p w:rsidR="004E6834" w:rsidRDefault="006836CB">
            <w:pPr>
              <w:jc w:val="center"/>
            </w:pPr>
            <w:r>
              <w:rPr>
                <w:sz w:val="20"/>
              </w:rPr>
              <w:t>4</w:t>
            </w:r>
          </w:p>
        </w:tc>
        <w:tc>
          <w:tcPr>
            <w:tcW w:w="3456" w:type="dxa"/>
            <w:shd w:val="clear" w:color="auto" w:fill="FFFFFF"/>
            <w:vAlign w:val="center"/>
          </w:tcPr>
          <w:p w:rsidR="004E6834" w:rsidRDefault="006836CB">
            <w:r>
              <w:rPr>
                <w:b/>
                <w:sz w:val="20"/>
              </w:rPr>
              <w:t>Parliament of Zimbabwe</w:t>
            </w:r>
          </w:p>
        </w:tc>
        <w:tc>
          <w:tcPr>
            <w:tcW w:w="2016" w:type="dxa"/>
            <w:shd w:val="clear" w:color="auto" w:fill="FFFFFF"/>
            <w:vAlign w:val="center"/>
          </w:tcPr>
          <w:p w:rsidR="004E6834" w:rsidRDefault="006836CB">
            <w:pPr>
              <w:jc w:val="right"/>
            </w:pPr>
            <w:r>
              <w:rPr>
                <w:sz w:val="20"/>
              </w:rPr>
              <w:t>520,011</w:t>
            </w:r>
          </w:p>
        </w:tc>
        <w:tc>
          <w:tcPr>
            <w:tcW w:w="2016" w:type="dxa"/>
            <w:shd w:val="clear" w:color="auto" w:fill="FFFFFF"/>
            <w:vAlign w:val="center"/>
          </w:tcPr>
          <w:p w:rsidR="004E6834" w:rsidRDefault="006836CB">
            <w:pPr>
              <w:jc w:val="right"/>
            </w:pPr>
            <w:r>
              <w:rPr>
                <w:sz w:val="20"/>
              </w:rPr>
              <w:t>215,402</w:t>
            </w:r>
          </w:p>
        </w:tc>
        <w:tc>
          <w:tcPr>
            <w:tcW w:w="2016" w:type="dxa"/>
            <w:shd w:val="clear" w:color="auto" w:fill="FFFFFF"/>
            <w:vAlign w:val="center"/>
          </w:tcPr>
          <w:p w:rsidR="004E6834" w:rsidRDefault="006836CB">
            <w:pPr>
              <w:jc w:val="right"/>
            </w:pPr>
            <w:r>
              <w:rPr>
                <w:color w:val="C00000"/>
                <w:sz w:val="20"/>
              </w:rPr>
              <w:t>77,963</w:t>
            </w:r>
          </w:p>
        </w:tc>
      </w:tr>
      <w:tr w:rsidR="004E6834">
        <w:trPr>
          <w:jc w:val="center"/>
        </w:trPr>
        <w:tc>
          <w:tcPr>
            <w:tcW w:w="432" w:type="dxa"/>
            <w:shd w:val="clear" w:color="auto" w:fill="F2F2F2"/>
            <w:vAlign w:val="center"/>
          </w:tcPr>
          <w:p w:rsidR="004E6834" w:rsidRDefault="006836CB">
            <w:pPr>
              <w:jc w:val="center"/>
            </w:pPr>
            <w:r>
              <w:rPr>
                <w:sz w:val="20"/>
              </w:rPr>
              <w:t>5</w:t>
            </w:r>
          </w:p>
        </w:tc>
        <w:tc>
          <w:tcPr>
            <w:tcW w:w="3456" w:type="dxa"/>
            <w:shd w:val="clear" w:color="auto" w:fill="F2F2F2"/>
            <w:vAlign w:val="center"/>
          </w:tcPr>
          <w:p w:rsidR="004E6834" w:rsidRDefault="006836CB">
            <w:r>
              <w:rPr>
                <w:b/>
                <w:sz w:val="20"/>
              </w:rPr>
              <w:t>ZPrisons &amp; Correctional Services</w:t>
            </w:r>
          </w:p>
        </w:tc>
        <w:tc>
          <w:tcPr>
            <w:tcW w:w="2016" w:type="dxa"/>
            <w:shd w:val="clear" w:color="auto" w:fill="F2F2F2"/>
            <w:vAlign w:val="center"/>
          </w:tcPr>
          <w:p w:rsidR="004E6834" w:rsidRDefault="006836CB">
            <w:pPr>
              <w:jc w:val="right"/>
            </w:pPr>
            <w:r>
              <w:rPr>
                <w:sz w:val="20"/>
              </w:rPr>
              <w:t>141,807</w:t>
            </w:r>
          </w:p>
        </w:tc>
        <w:tc>
          <w:tcPr>
            <w:tcW w:w="2016" w:type="dxa"/>
            <w:shd w:val="clear" w:color="auto" w:fill="F2F2F2"/>
            <w:vAlign w:val="center"/>
          </w:tcPr>
          <w:p w:rsidR="004E6834" w:rsidRDefault="006836CB">
            <w:pPr>
              <w:jc w:val="right"/>
            </w:pPr>
            <w:r>
              <w:rPr>
                <w:sz w:val="20"/>
              </w:rPr>
              <w:t>5,417</w:t>
            </w:r>
          </w:p>
        </w:tc>
        <w:tc>
          <w:tcPr>
            <w:tcW w:w="2016" w:type="dxa"/>
            <w:shd w:val="clear" w:color="auto" w:fill="F2F2F2"/>
            <w:vAlign w:val="center"/>
          </w:tcPr>
          <w:p w:rsidR="004E6834" w:rsidRDefault="006836CB">
            <w:pPr>
              <w:jc w:val="right"/>
            </w:pPr>
            <w:r>
              <w:rPr>
                <w:color w:val="C00000"/>
                <w:sz w:val="20"/>
              </w:rPr>
              <w:t>51,323</w:t>
            </w:r>
          </w:p>
        </w:tc>
      </w:tr>
    </w:tbl>
    <w:p w:rsidR="004E6834" w:rsidRDefault="004E6834"/>
    <w:p w:rsidR="004E6834" w:rsidRDefault="006836CB">
      <w:pPr>
        <w:spacing w:after="120"/>
      </w:pPr>
      <w:r>
        <w:t xml:space="preserve">Active engagement with all government debtors is ongoing, with formal statements of account and payment demands submitted to all relevant ministries and departments. The Group is also liaising with the Treasury and Ministry of Finance to facilitate debt clearance. Importantly, debt collection days improved from </w:t>
      </w:r>
      <w:r>
        <w:rPr>
          <w:b/>
          <w:color w:val="1E7B34"/>
        </w:rPr>
        <w:t xml:space="preserve">110 days (SPLY) to 64 days YTD — a 42% improvement, </w:t>
      </w:r>
      <w:r>
        <w:t>though the target remains 33 days.</w:t>
      </w:r>
    </w:p>
    <w:p w:rsidR="004E6834" w:rsidRDefault="006836CB">
      <w:pPr>
        <w:spacing w:before="240" w:after="80"/>
      </w:pPr>
      <w:r>
        <w:rPr>
          <w:b/>
          <w:color w:val="2E75B6"/>
          <w:sz w:val="26"/>
        </w:rPr>
        <w:t>10.3  Foreign Debtors (S.A. and NGO)</w:t>
      </w:r>
    </w:p>
    <w:p w:rsidR="004E6834" w:rsidRDefault="006836CB">
      <w:pPr>
        <w:spacing w:after="120"/>
      </w:pPr>
      <w:r>
        <w:t xml:space="preserve">South African foreign debtors totalled </w:t>
      </w:r>
      <w:r>
        <w:rPr>
          <w:b/>
          <w:color w:val="1F3864"/>
        </w:rPr>
        <w:t xml:space="preserve">US$184,358 </w:t>
      </w:r>
      <w:r>
        <w:t xml:space="preserve">— majority current — including Hotelbeds (US$63,971 across properties), Springbok Atlas (US$25,916), Thompsons Africa/Tours (US$40,450 combined), and Planet Africa (US$34,461). NGO debtors were </w:t>
      </w:r>
      <w:r>
        <w:rPr>
          <w:b/>
          <w:color w:val="1F3864"/>
        </w:rPr>
        <w:t xml:space="preserve">US$180,484 </w:t>
      </w:r>
      <w:r>
        <w:t>(67.8% current), including Air Zimbabwe (US$42,999 at RTH) and the Airport Company of Zimbabwe (US$47,402 at MTC).</w:t>
      </w:r>
    </w:p>
    <w:p w:rsidR="004E6834" w:rsidRDefault="006836CB">
      <w:r>
        <w:br w:type="page"/>
      </w:r>
    </w:p>
    <w:p w:rsidR="004E6834" w:rsidRDefault="006836CB">
      <w:pPr>
        <w:pBdr>
          <w:bottom w:val="single" w:sz="12" w:space="1" w:color="2E75B6"/>
        </w:pBdr>
        <w:spacing w:before="360" w:after="120"/>
      </w:pPr>
      <w:r>
        <w:rPr>
          <w:b/>
          <w:color w:val="1F3864"/>
          <w:sz w:val="32"/>
        </w:rPr>
        <w:lastRenderedPageBreak/>
        <w:t>11.  CREDITORS AND PAYABLES ANALYSIS</w:t>
      </w:r>
    </w:p>
    <w:p w:rsidR="004E6834" w:rsidRDefault="006836CB">
      <w:pPr>
        <w:spacing w:before="240" w:after="80"/>
      </w:pPr>
      <w:r>
        <w:rPr>
          <w:b/>
          <w:color w:val="2E75B6"/>
          <w:sz w:val="26"/>
        </w:rPr>
        <w:t>11.1  Trade Payables</w:t>
      </w:r>
    </w:p>
    <w:p w:rsidR="004E6834" w:rsidRDefault="006836CB">
      <w:pPr>
        <w:spacing w:after="120"/>
      </w:pPr>
      <w:r>
        <w:t xml:space="preserve">Trade payables totalled </w:t>
      </w:r>
      <w:r>
        <w:rPr>
          <w:b/>
          <w:color w:val="1F3864"/>
        </w:rPr>
        <w:t xml:space="preserve">US$2,070,320 </w:t>
      </w:r>
      <w:r>
        <w:t xml:space="preserve">at 31 March 2026. Rainbow Towers is the largest contributor (US$1,134,917), followed by Kadoma (US$299,566), Bulawayo (US$178,925), Montclair (US$81,446), Azambezi (US$99,727), and New Ambassador (US$47,140). Average creditor payment days of </w:t>
      </w:r>
      <w:r>
        <w:rPr>
          <w:b/>
          <w:color w:val="1F3864"/>
        </w:rPr>
        <w:t xml:space="preserve">51.5 days YTD </w:t>
      </w:r>
      <w:r>
        <w:t>improved from SPLY of 65 days, tracking toward the target of 25 days.</w:t>
      </w:r>
    </w:p>
    <w:p w:rsidR="004E6834" w:rsidRDefault="006836CB">
      <w:pPr>
        <w:spacing w:before="240" w:after="80"/>
      </w:pPr>
      <w:r>
        <w:rPr>
          <w:b/>
          <w:color w:val="2E75B6"/>
          <w:sz w:val="26"/>
        </w:rPr>
        <w:t>11.2  Statutory Liabilities</w:t>
      </w:r>
    </w:p>
    <w:p w:rsidR="004E6834" w:rsidRDefault="006836CB">
      <w:pPr>
        <w:spacing w:after="120"/>
      </w:pPr>
      <w:r>
        <w:t xml:space="preserve">Total statutory liabilities were </w:t>
      </w:r>
      <w:r>
        <w:rPr>
          <w:b/>
          <w:color w:val="C00000"/>
        </w:rPr>
        <w:t xml:space="preserve">US$8,739,540 </w:t>
      </w:r>
      <w:r>
        <w:t>at 31 March 2026 — a significant obligation requiring prioritised management attention:</w:t>
      </w:r>
    </w:p>
    <w:tbl>
      <w:tblPr>
        <w:tblStyle w:val="TableGrid"/>
        <w:tblW w:w="0" w:type="auto"/>
        <w:jc w:val="center"/>
        <w:tblLook w:val="04A0" w:firstRow="1" w:lastRow="0" w:firstColumn="1" w:lastColumn="0" w:noHBand="0" w:noVBand="1"/>
      </w:tblPr>
      <w:tblGrid>
        <w:gridCol w:w="5450"/>
        <w:gridCol w:w="4126"/>
      </w:tblGrid>
      <w:tr w:rsidR="004E6834">
        <w:trPr>
          <w:jc w:val="center"/>
        </w:trPr>
        <w:tc>
          <w:tcPr>
            <w:tcW w:w="6480" w:type="dxa"/>
            <w:shd w:val="clear" w:color="auto" w:fill="1F3864"/>
            <w:vAlign w:val="center"/>
          </w:tcPr>
          <w:p w:rsidR="004E6834" w:rsidRDefault="006836CB">
            <w:pPr>
              <w:jc w:val="center"/>
            </w:pPr>
            <w:r>
              <w:rPr>
                <w:b/>
                <w:color w:val="FFFFFF"/>
                <w:sz w:val="20"/>
              </w:rPr>
              <w:t>STATUTORY LIABILITY</w:t>
            </w:r>
          </w:p>
        </w:tc>
        <w:tc>
          <w:tcPr>
            <w:tcW w:w="4896" w:type="dxa"/>
            <w:shd w:val="clear" w:color="auto" w:fill="1F3864"/>
            <w:vAlign w:val="center"/>
          </w:tcPr>
          <w:p w:rsidR="004E6834" w:rsidRDefault="006836CB">
            <w:pPr>
              <w:jc w:val="center"/>
            </w:pPr>
            <w:r>
              <w:rPr>
                <w:b/>
                <w:color w:val="FFFFFF"/>
                <w:sz w:val="20"/>
              </w:rPr>
              <w:t>AMOUNT (US$)</w:t>
            </w:r>
          </w:p>
        </w:tc>
      </w:tr>
      <w:tr w:rsidR="004E6834">
        <w:trPr>
          <w:jc w:val="center"/>
        </w:trPr>
        <w:tc>
          <w:tcPr>
            <w:tcW w:w="6480" w:type="dxa"/>
            <w:shd w:val="clear" w:color="auto" w:fill="F2F2F2"/>
            <w:vAlign w:val="center"/>
          </w:tcPr>
          <w:p w:rsidR="004E6834" w:rsidRDefault="006836CB">
            <w:r>
              <w:rPr>
                <w:b/>
                <w:sz w:val="20"/>
              </w:rPr>
              <w:t>Non-NEC Pension Fund</w:t>
            </w:r>
          </w:p>
        </w:tc>
        <w:tc>
          <w:tcPr>
            <w:tcW w:w="4896" w:type="dxa"/>
            <w:shd w:val="clear" w:color="auto" w:fill="F2F2F2"/>
            <w:vAlign w:val="center"/>
          </w:tcPr>
          <w:p w:rsidR="004E6834" w:rsidRDefault="006836CB">
            <w:pPr>
              <w:jc w:val="right"/>
            </w:pPr>
            <w:r>
              <w:rPr>
                <w:b/>
                <w:color w:val="C00000"/>
                <w:sz w:val="20"/>
              </w:rPr>
              <w:t>3,136,033</w:t>
            </w:r>
          </w:p>
        </w:tc>
      </w:tr>
      <w:tr w:rsidR="004E6834">
        <w:trPr>
          <w:jc w:val="center"/>
        </w:trPr>
        <w:tc>
          <w:tcPr>
            <w:tcW w:w="6480" w:type="dxa"/>
            <w:shd w:val="clear" w:color="auto" w:fill="FFFFFF"/>
            <w:vAlign w:val="center"/>
          </w:tcPr>
          <w:p w:rsidR="004E6834" w:rsidRDefault="006836CB">
            <w:r>
              <w:rPr>
                <w:b/>
                <w:sz w:val="20"/>
              </w:rPr>
              <w:t>ZIMRA — VAT</w:t>
            </w:r>
          </w:p>
        </w:tc>
        <w:tc>
          <w:tcPr>
            <w:tcW w:w="4896" w:type="dxa"/>
            <w:shd w:val="clear" w:color="auto" w:fill="FFFFFF"/>
            <w:vAlign w:val="center"/>
          </w:tcPr>
          <w:p w:rsidR="004E6834" w:rsidRDefault="006836CB">
            <w:pPr>
              <w:jc w:val="right"/>
            </w:pPr>
            <w:r>
              <w:rPr>
                <w:b/>
                <w:color w:val="C00000"/>
                <w:sz w:val="20"/>
              </w:rPr>
              <w:t>1,804,524</w:t>
            </w:r>
          </w:p>
        </w:tc>
      </w:tr>
      <w:tr w:rsidR="004E6834">
        <w:trPr>
          <w:jc w:val="center"/>
        </w:trPr>
        <w:tc>
          <w:tcPr>
            <w:tcW w:w="6480" w:type="dxa"/>
            <w:shd w:val="clear" w:color="auto" w:fill="F2F2F2"/>
            <w:vAlign w:val="center"/>
          </w:tcPr>
          <w:p w:rsidR="004E6834" w:rsidRDefault="006836CB">
            <w:r>
              <w:rPr>
                <w:b/>
                <w:sz w:val="20"/>
              </w:rPr>
              <w:t>ZIMRA — PAYE</w:t>
            </w:r>
          </w:p>
        </w:tc>
        <w:tc>
          <w:tcPr>
            <w:tcW w:w="4896" w:type="dxa"/>
            <w:shd w:val="clear" w:color="auto" w:fill="F2F2F2"/>
            <w:vAlign w:val="center"/>
          </w:tcPr>
          <w:p w:rsidR="004E6834" w:rsidRDefault="006836CB">
            <w:pPr>
              <w:jc w:val="right"/>
            </w:pPr>
            <w:r>
              <w:rPr>
                <w:b/>
                <w:color w:val="C00000"/>
                <w:sz w:val="20"/>
              </w:rPr>
              <w:t>1,505,160</w:t>
            </w:r>
          </w:p>
        </w:tc>
      </w:tr>
      <w:tr w:rsidR="004E6834">
        <w:trPr>
          <w:jc w:val="center"/>
        </w:trPr>
        <w:tc>
          <w:tcPr>
            <w:tcW w:w="6480" w:type="dxa"/>
            <w:shd w:val="clear" w:color="auto" w:fill="FFFFFF"/>
            <w:vAlign w:val="center"/>
          </w:tcPr>
          <w:p w:rsidR="004E6834" w:rsidRDefault="006836CB">
            <w:r>
              <w:rPr>
                <w:b/>
                <w:sz w:val="20"/>
              </w:rPr>
              <w:t>ZTA Tourism Levy</w:t>
            </w:r>
          </w:p>
        </w:tc>
        <w:tc>
          <w:tcPr>
            <w:tcW w:w="4896" w:type="dxa"/>
            <w:shd w:val="clear" w:color="auto" w:fill="FFFFFF"/>
            <w:vAlign w:val="center"/>
          </w:tcPr>
          <w:p w:rsidR="004E6834" w:rsidRDefault="006836CB">
            <w:pPr>
              <w:jc w:val="right"/>
            </w:pPr>
            <w:r>
              <w:rPr>
                <w:sz w:val="20"/>
              </w:rPr>
              <w:t>1,384,722</w:t>
            </w:r>
          </w:p>
        </w:tc>
      </w:tr>
      <w:tr w:rsidR="004E6834">
        <w:trPr>
          <w:jc w:val="center"/>
        </w:trPr>
        <w:tc>
          <w:tcPr>
            <w:tcW w:w="6480" w:type="dxa"/>
            <w:shd w:val="clear" w:color="auto" w:fill="F2F2F2"/>
            <w:vAlign w:val="center"/>
          </w:tcPr>
          <w:p w:rsidR="004E6834" w:rsidRDefault="006836CB">
            <w:r>
              <w:rPr>
                <w:b/>
                <w:sz w:val="20"/>
              </w:rPr>
              <w:t>Council Rates</w:t>
            </w:r>
          </w:p>
        </w:tc>
        <w:tc>
          <w:tcPr>
            <w:tcW w:w="4896" w:type="dxa"/>
            <w:shd w:val="clear" w:color="auto" w:fill="F2F2F2"/>
            <w:vAlign w:val="center"/>
          </w:tcPr>
          <w:p w:rsidR="004E6834" w:rsidRDefault="006836CB">
            <w:pPr>
              <w:jc w:val="right"/>
            </w:pPr>
            <w:r>
              <w:rPr>
                <w:sz w:val="20"/>
              </w:rPr>
              <w:t>444,454</w:t>
            </w:r>
          </w:p>
        </w:tc>
      </w:tr>
      <w:tr w:rsidR="004E6834">
        <w:trPr>
          <w:jc w:val="center"/>
        </w:trPr>
        <w:tc>
          <w:tcPr>
            <w:tcW w:w="6480" w:type="dxa"/>
            <w:shd w:val="clear" w:color="auto" w:fill="FFFFFF"/>
            <w:vAlign w:val="center"/>
          </w:tcPr>
          <w:p w:rsidR="004E6834" w:rsidRDefault="006836CB">
            <w:r>
              <w:rPr>
                <w:b/>
                <w:sz w:val="20"/>
              </w:rPr>
              <w:t>NSSA</w:t>
            </w:r>
          </w:p>
        </w:tc>
        <w:tc>
          <w:tcPr>
            <w:tcW w:w="4896" w:type="dxa"/>
            <w:shd w:val="clear" w:color="auto" w:fill="FFFFFF"/>
            <w:vAlign w:val="center"/>
          </w:tcPr>
          <w:p w:rsidR="004E6834" w:rsidRDefault="006836CB">
            <w:pPr>
              <w:jc w:val="right"/>
            </w:pPr>
            <w:r>
              <w:rPr>
                <w:sz w:val="20"/>
              </w:rPr>
              <w:t>317,280</w:t>
            </w:r>
          </w:p>
        </w:tc>
      </w:tr>
      <w:tr w:rsidR="004E6834">
        <w:trPr>
          <w:jc w:val="center"/>
        </w:trPr>
        <w:tc>
          <w:tcPr>
            <w:tcW w:w="6480" w:type="dxa"/>
            <w:shd w:val="clear" w:color="auto" w:fill="F2F2F2"/>
            <w:vAlign w:val="center"/>
          </w:tcPr>
          <w:p w:rsidR="004E6834" w:rsidRDefault="006836CB">
            <w:r>
              <w:rPr>
                <w:b/>
                <w:sz w:val="20"/>
              </w:rPr>
              <w:t>Manpower Development Levy</w:t>
            </w:r>
          </w:p>
        </w:tc>
        <w:tc>
          <w:tcPr>
            <w:tcW w:w="4896" w:type="dxa"/>
            <w:shd w:val="clear" w:color="auto" w:fill="F2F2F2"/>
            <w:vAlign w:val="center"/>
          </w:tcPr>
          <w:p w:rsidR="004E6834" w:rsidRDefault="006836CB">
            <w:pPr>
              <w:jc w:val="right"/>
            </w:pPr>
            <w:r>
              <w:rPr>
                <w:sz w:val="20"/>
              </w:rPr>
              <w:t>72,334</w:t>
            </w:r>
          </w:p>
        </w:tc>
      </w:tr>
      <w:tr w:rsidR="004E6834">
        <w:trPr>
          <w:jc w:val="center"/>
        </w:trPr>
        <w:tc>
          <w:tcPr>
            <w:tcW w:w="6480" w:type="dxa"/>
            <w:shd w:val="clear" w:color="auto" w:fill="FFFFFF"/>
            <w:vAlign w:val="center"/>
          </w:tcPr>
          <w:p w:rsidR="004E6834" w:rsidRDefault="006836CB">
            <w:r>
              <w:rPr>
                <w:b/>
                <w:sz w:val="20"/>
              </w:rPr>
              <w:t>Zimbabwe Music Rights</w:t>
            </w:r>
          </w:p>
        </w:tc>
        <w:tc>
          <w:tcPr>
            <w:tcW w:w="4896" w:type="dxa"/>
            <w:shd w:val="clear" w:color="auto" w:fill="FFFFFF"/>
            <w:vAlign w:val="center"/>
          </w:tcPr>
          <w:p w:rsidR="004E6834" w:rsidRDefault="006836CB">
            <w:pPr>
              <w:jc w:val="right"/>
            </w:pPr>
            <w:r>
              <w:rPr>
                <w:sz w:val="20"/>
              </w:rPr>
              <w:t>57,519</w:t>
            </w:r>
          </w:p>
        </w:tc>
      </w:tr>
      <w:tr w:rsidR="004E6834">
        <w:trPr>
          <w:jc w:val="center"/>
        </w:trPr>
        <w:tc>
          <w:tcPr>
            <w:tcW w:w="6480" w:type="dxa"/>
            <w:shd w:val="clear" w:color="auto" w:fill="F2F2F2"/>
            <w:vAlign w:val="center"/>
          </w:tcPr>
          <w:p w:rsidR="004E6834" w:rsidRDefault="006836CB">
            <w:r>
              <w:rPr>
                <w:b/>
                <w:sz w:val="20"/>
              </w:rPr>
              <w:t>Other Statutory</w:t>
            </w:r>
          </w:p>
        </w:tc>
        <w:tc>
          <w:tcPr>
            <w:tcW w:w="4896" w:type="dxa"/>
            <w:shd w:val="clear" w:color="auto" w:fill="F2F2F2"/>
            <w:vAlign w:val="center"/>
          </w:tcPr>
          <w:p w:rsidR="004E6834" w:rsidRDefault="006836CB">
            <w:pPr>
              <w:jc w:val="right"/>
            </w:pPr>
            <w:r>
              <w:rPr>
                <w:sz w:val="20"/>
              </w:rPr>
              <w:t>17,514</w:t>
            </w:r>
          </w:p>
        </w:tc>
      </w:tr>
      <w:tr w:rsidR="004E6834">
        <w:trPr>
          <w:jc w:val="center"/>
        </w:trPr>
        <w:tc>
          <w:tcPr>
            <w:tcW w:w="6480" w:type="dxa"/>
            <w:shd w:val="clear" w:color="auto" w:fill="1F3864"/>
            <w:vAlign w:val="center"/>
          </w:tcPr>
          <w:p w:rsidR="004E6834" w:rsidRDefault="006836CB">
            <w:r>
              <w:rPr>
                <w:b/>
                <w:color w:val="FFFFFF"/>
                <w:sz w:val="20"/>
              </w:rPr>
              <w:t>TOTAL STATUTORY LIABILITIES</w:t>
            </w:r>
          </w:p>
        </w:tc>
        <w:tc>
          <w:tcPr>
            <w:tcW w:w="4896" w:type="dxa"/>
            <w:shd w:val="clear" w:color="auto" w:fill="1F3864"/>
            <w:vAlign w:val="center"/>
          </w:tcPr>
          <w:p w:rsidR="004E6834" w:rsidRDefault="006836CB">
            <w:pPr>
              <w:jc w:val="right"/>
            </w:pPr>
            <w:r>
              <w:rPr>
                <w:b/>
                <w:color w:val="FFFFFF"/>
                <w:sz w:val="20"/>
              </w:rPr>
              <w:t>8,739,540</w:t>
            </w:r>
          </w:p>
        </w:tc>
      </w:tr>
    </w:tbl>
    <w:p w:rsidR="004E6834" w:rsidRDefault="004E6834"/>
    <w:p w:rsidR="004E6834" w:rsidRDefault="006836CB">
      <w:pPr>
        <w:spacing w:after="120"/>
      </w:pPr>
      <w:r>
        <w:t xml:space="preserve">A structured statutory compliance plan is being implemented to address these obligations. Guest deposits of </w:t>
      </w:r>
      <w:r>
        <w:rPr>
          <w:b/>
          <w:color w:val="1E7B34"/>
        </w:rPr>
        <w:t xml:space="preserve">US$3,466,444 </w:t>
      </w:r>
      <w:r>
        <w:t>provide an important indicator of confirmed future revenue and forward booking momentum.</w:t>
      </w:r>
    </w:p>
    <w:p w:rsidR="004E6834" w:rsidRDefault="006836CB">
      <w:r>
        <w:br w:type="page"/>
      </w:r>
    </w:p>
    <w:p w:rsidR="004E6834" w:rsidRDefault="006836CB">
      <w:pPr>
        <w:pBdr>
          <w:bottom w:val="single" w:sz="12" w:space="1" w:color="2E75B6"/>
        </w:pBdr>
        <w:spacing w:before="360" w:after="120"/>
      </w:pPr>
      <w:r>
        <w:rPr>
          <w:b/>
          <w:color w:val="1F3864"/>
          <w:sz w:val="32"/>
        </w:rPr>
        <w:lastRenderedPageBreak/>
        <w:t>12.  INDIVIDUAL HOTEL PERFORMANCE HIGHLIGHTS</w:t>
      </w:r>
    </w:p>
    <w:p w:rsidR="004E6834" w:rsidRDefault="006836CB">
      <w:pPr>
        <w:spacing w:after="120"/>
      </w:pPr>
      <w:r>
        <w:t>The following section provides a qualitative overview of individual property performance for Q1 2026 based on available data and context from the 2025 full-year performance. Where specific Q1 2026 hotel-level figures are not available in this report, underscores (___) denote values that will be confirmed in the detailed hotel accounts.</w:t>
      </w:r>
    </w:p>
    <w:p w:rsidR="004E6834" w:rsidRDefault="006836CB">
      <w:pPr>
        <w:spacing w:before="240" w:after="80"/>
      </w:pPr>
      <w:r>
        <w:rPr>
          <w:b/>
          <w:color w:val="2E75B6"/>
          <w:sz w:val="26"/>
        </w:rPr>
        <w:t>12.1  Rainbow Towers Hotel (RTH) — Harare</w:t>
      </w:r>
    </w:p>
    <w:p w:rsidR="004E6834" w:rsidRDefault="006836CB">
      <w:pPr>
        <w:spacing w:after="120"/>
      </w:pPr>
      <w:r>
        <w:t xml:space="preserve">Rainbow Towers Hotel remained the Group's anchor property and revenue leader in Q1 2026. The hotel's trade receivables of </w:t>
      </w:r>
      <w:r>
        <w:rPr>
          <w:b/>
          <w:color w:val="1F3864"/>
        </w:rPr>
        <w:t xml:space="preserve">US$2,314,993 </w:t>
      </w:r>
      <w:r>
        <w:t xml:space="preserve">are the largest in the Group, reflecting its dominance in the MICE, government, and corporate segments. Revenue for Q1 2026 is estimated at approximately </w:t>
      </w:r>
      <w:r>
        <w:rPr>
          <w:b/>
          <w:color w:val="1F3864"/>
        </w:rPr>
        <w:t xml:space="preserve">US$___ </w:t>
      </w:r>
      <w:r>
        <w:t>against a budget of US$___ and SPLY of approximately US$3.1 million (Q1 annualised from US$12.5m full year 2025). The hotel's top clients in Q1 included the O</w:t>
      </w:r>
      <w:bookmarkStart w:id="0" w:name="_GoBack"/>
      <w:bookmarkEnd w:id="0"/>
      <w:r>
        <w:t>ffice of the President (US$463,208 current billing), Parliament (US$215,402), and the Judicial Service Commission (US$75,694). Occupancy is estimated at ___% against a target of ___% and SPLY of 60%, with ADR of approximately US$___.</w:t>
      </w:r>
    </w:p>
    <w:p w:rsidR="004E6834" w:rsidRDefault="006836CB">
      <w:pPr>
        <w:spacing w:after="120"/>
      </w:pPr>
      <w:r>
        <w:t>The hotel's strategic focus on regional partnerships, SADC Secretariat engagements, and ministerial delegations continues to differentiate it as Harare's premier venue for high-profile events.</w:t>
      </w:r>
    </w:p>
    <w:p w:rsidR="004E6834" w:rsidRDefault="006836CB">
      <w:pPr>
        <w:spacing w:before="240" w:after="80"/>
      </w:pPr>
      <w:r>
        <w:rPr>
          <w:b/>
          <w:color w:val="2E75B6"/>
          <w:sz w:val="26"/>
        </w:rPr>
        <w:t>12.2  Harare International Conference Centre (HICC)</w:t>
      </w:r>
    </w:p>
    <w:p w:rsidR="004E6834" w:rsidRDefault="006836CB">
      <w:pPr>
        <w:spacing w:after="120"/>
      </w:pPr>
      <w:r>
        <w:t xml:space="preserve">The HICC continues its strategic repositioning as a premier MICE destination. Revenue is estimated at approximately </w:t>
      </w:r>
      <w:r>
        <w:rPr>
          <w:b/>
          <w:color w:val="1F3864"/>
        </w:rPr>
        <w:t xml:space="preserve">US$___ </w:t>
      </w:r>
      <w:r>
        <w:t>in Q1 2026 against a budget of US$___ and SPLY of approximately US$2.1 million (Q1 annualised from US$8.4m FY2025). The Centre hosted several high-profile events including _________, _________, and _________. The HICC's confirmed conference pipeline for Q2-Q3 2026 includes _________. Its long-term ambition to compete directly with the Cape Town International Convention Centre and Kigali Convention Centre remains on track.</w:t>
      </w:r>
    </w:p>
    <w:p w:rsidR="004E6834" w:rsidRDefault="006836CB">
      <w:pPr>
        <w:spacing w:before="240" w:after="80"/>
      </w:pPr>
      <w:r>
        <w:rPr>
          <w:b/>
          <w:color w:val="2E75B6"/>
          <w:sz w:val="26"/>
        </w:rPr>
        <w:t>12.3  Bulawayo Rainbow Hotel (BYO)</w:t>
      </w:r>
    </w:p>
    <w:p w:rsidR="004E6834" w:rsidRDefault="006836CB">
      <w:pPr>
        <w:spacing w:after="120"/>
      </w:pPr>
      <w:r>
        <w:t xml:space="preserve">Bulawayo Rainbow Hotel's trade receivables of </w:t>
      </w:r>
      <w:r>
        <w:rPr>
          <w:b/>
          <w:color w:val="1F3864"/>
        </w:rPr>
        <w:t xml:space="preserve">US$42,836 </w:t>
      </w:r>
      <w:r>
        <w:t xml:space="preserve">were well-managed and current. Revenue is estimated at </w:t>
      </w:r>
      <w:r>
        <w:rPr>
          <w:b/>
          <w:color w:val="1F3864"/>
        </w:rPr>
        <w:t xml:space="preserve">US$___ </w:t>
      </w:r>
      <w:r>
        <w:t>in Q1 2026 against a budget of US$___ and SPLY of approximately US$2.15m. The hotel built on its 2025 ADR improvement of 13% (to US$116) and continued to navigate government austerity headwinds by expanding its corporate business segment from 6% to 17% in 2025, a strategy that continues into 2026. Occupancy is estimated at ___% against a target of ___% and SPLY of ___.</w:t>
      </w:r>
    </w:p>
    <w:p w:rsidR="004E6834" w:rsidRDefault="006836CB">
      <w:pPr>
        <w:spacing w:before="240" w:after="80"/>
      </w:pPr>
      <w:r>
        <w:rPr>
          <w:b/>
          <w:color w:val="2E75B6"/>
          <w:sz w:val="26"/>
        </w:rPr>
        <w:t>12.4  Kadoma Hotel &amp; Conference Centre (KHCC)</w:t>
      </w:r>
    </w:p>
    <w:p w:rsidR="004E6834" w:rsidRDefault="006836CB">
      <w:pPr>
        <w:spacing w:after="120"/>
      </w:pPr>
      <w:r>
        <w:t xml:space="preserve">Kadoma built on its outstanding 2025 performance (22% above budget, US$5.9m revenue, ADR US$104 — up 33%). Trade receivables of </w:t>
      </w:r>
      <w:r>
        <w:rPr>
          <w:b/>
          <w:color w:val="1F3864"/>
        </w:rPr>
        <w:t xml:space="preserve">US$409,090 </w:t>
      </w:r>
      <w:r>
        <w:t xml:space="preserve">include significant institutional balances (OPC, African Development Bank, WHO/UNESCO). Revenue in Q1 2026 is estimated at </w:t>
      </w:r>
      <w:r>
        <w:rPr>
          <w:b/>
          <w:color w:val="1F3864"/>
        </w:rPr>
        <w:t xml:space="preserve">US$___ </w:t>
      </w:r>
      <w:r>
        <w:t>against a budget of US$___ and SPLY of approximately US$1.5m. Occupancy is estimated at ___% with ADR of US$___.</w:t>
      </w:r>
    </w:p>
    <w:p w:rsidR="004E6834" w:rsidRDefault="006836CB">
      <w:pPr>
        <w:spacing w:before="240" w:after="80"/>
      </w:pPr>
      <w:r>
        <w:rPr>
          <w:b/>
          <w:color w:val="2E75B6"/>
          <w:sz w:val="26"/>
        </w:rPr>
        <w:t>12.5  New Ambassador Hotel (NAH) — Harare</w:t>
      </w:r>
    </w:p>
    <w:p w:rsidR="004E6834" w:rsidRDefault="006836CB">
      <w:pPr>
        <w:spacing w:after="120"/>
      </w:pPr>
      <w:r>
        <w:lastRenderedPageBreak/>
        <w:t xml:space="preserve">New Ambassador Hotel, with trade receivables of </w:t>
      </w:r>
      <w:r>
        <w:rPr>
          <w:b/>
          <w:color w:val="1F3864"/>
        </w:rPr>
        <w:t xml:space="preserve">US$110,542 </w:t>
      </w:r>
      <w:r>
        <w:t xml:space="preserve">supported by KPMG, Hotelbeds, FAWEZI, and other NGOs, is now fully operational post-refurbishment. Revenue for Q1 2026 is estimated at </w:t>
      </w:r>
      <w:r>
        <w:rPr>
          <w:b/>
          <w:color w:val="1F3864"/>
        </w:rPr>
        <w:t xml:space="preserve">US$___ </w:t>
      </w:r>
      <w:r>
        <w:t>against a budget of US$___ and SPLY of approximately US$425,000. The hotel's mobile catering service (RTG Mobile) and site-inspection campaign are driving incremental F&amp;B revenues.</w:t>
      </w:r>
    </w:p>
    <w:p w:rsidR="004E6834" w:rsidRDefault="006836CB">
      <w:pPr>
        <w:spacing w:before="240" w:after="80"/>
      </w:pPr>
      <w:r>
        <w:rPr>
          <w:b/>
          <w:color w:val="2E75B6"/>
          <w:sz w:val="26"/>
        </w:rPr>
        <w:t>12.6  A'Zambezi River Lodge (AZAM) — Victoria Falls</w:t>
      </w:r>
    </w:p>
    <w:p w:rsidR="004E6834" w:rsidRDefault="006836CB">
      <w:pPr>
        <w:spacing w:after="120"/>
      </w:pPr>
      <w:r>
        <w:t xml:space="preserve">A'Zambezi trade receivables of </w:t>
      </w:r>
      <w:r>
        <w:rPr>
          <w:b/>
          <w:color w:val="1F3864"/>
        </w:rPr>
        <w:t xml:space="preserve">US$247,131 </w:t>
      </w:r>
      <w:r>
        <w:t xml:space="preserve">reflect active billing from key SA tour operators — Hotelbeds (US$32,893), Springbok Atlas (US$25,916), and Thompsons Africa (US$35,798). Revenue in Q1 2026 is estimated at </w:t>
      </w:r>
      <w:r>
        <w:rPr>
          <w:b/>
          <w:color w:val="1F3864"/>
        </w:rPr>
        <w:t xml:space="preserve">US$___ </w:t>
      </w:r>
      <w:r>
        <w:t>against a budget of US$___ and SPLY of approximately US$1.1m (Q1 annualised from US$4.3m FY2025). The lodge's ADR improvement to US$145 (19% above 2024) positions it well for yield growth in 2026. Occupancy is estimated at ___%. The lodge is fully operational following its 2025 refurbishment and is focused on rebuilding series business.</w:t>
      </w:r>
    </w:p>
    <w:p w:rsidR="004E6834" w:rsidRDefault="006836CB">
      <w:pPr>
        <w:spacing w:before="240" w:after="80"/>
      </w:pPr>
      <w:r>
        <w:rPr>
          <w:b/>
          <w:color w:val="2E75B6"/>
          <w:sz w:val="26"/>
        </w:rPr>
        <w:t>12.7  Victoria Falls Rainbow Hotel (VFRH)</w:t>
      </w:r>
    </w:p>
    <w:p w:rsidR="004E6834" w:rsidRDefault="006836CB">
      <w:pPr>
        <w:spacing w:after="120"/>
      </w:pPr>
      <w:r>
        <w:t xml:space="preserve">Trade receivables of </w:t>
      </w:r>
      <w:r>
        <w:rPr>
          <w:b/>
          <w:color w:val="1F3864"/>
        </w:rPr>
        <w:t xml:space="preserve">US$115,568 </w:t>
      </w:r>
      <w:r>
        <w:t xml:space="preserve">reflect active billing from Planet Africa (US$34,461), African Eagle, and Hotelbeds. Revenue for Q1 2026 is estimated at </w:t>
      </w:r>
      <w:r>
        <w:rPr>
          <w:b/>
          <w:color w:val="1F3864"/>
        </w:rPr>
        <w:t xml:space="preserve">US$___ </w:t>
      </w:r>
      <w:r>
        <w:t>against a budget of US$___ and SPLY of approximately US$750,000 (Q1 annualised from US$3.0m FY2025). Building on the 67% occupancy achieved in FY2025, the hotel's diversified portfolio of international tour operators and NGOs provides resilience.</w:t>
      </w:r>
    </w:p>
    <w:p w:rsidR="004E6834" w:rsidRDefault="006836CB">
      <w:pPr>
        <w:spacing w:before="240" w:after="80"/>
      </w:pPr>
      <w:r>
        <w:rPr>
          <w:b/>
          <w:color w:val="2E75B6"/>
          <w:sz w:val="26"/>
        </w:rPr>
        <w:t>12.8  Montclair Resort and Conference Centre (MTC)</w:t>
      </w:r>
    </w:p>
    <w:p w:rsidR="004E6834" w:rsidRDefault="006836CB">
      <w:pPr>
        <w:spacing w:after="120"/>
      </w:pPr>
      <w:r>
        <w:t xml:space="preserve">Montclair, fully operational under Group management since March 2025, is now contributing to all 2026 quarters. Key Q1 2026 clients include Air Zimbabwe (US$47,402), FACT, and various NGOs. Revenue for Q1 2026 is estimated at </w:t>
      </w:r>
      <w:r>
        <w:rPr>
          <w:b/>
          <w:color w:val="1F3864"/>
        </w:rPr>
        <w:t xml:space="preserve">US$___ </w:t>
      </w:r>
      <w:r>
        <w:t>against a budget of US$___. ADR held at approximately US$87 (established under Group management in 2025, a 14% improvement from US$76). Planned 2026 renovations are expected to further enhance guest confidence and revenue potential.</w:t>
      </w:r>
    </w:p>
    <w:p w:rsidR="004E6834" w:rsidRDefault="006836CB">
      <w:pPr>
        <w:spacing w:before="240" w:after="80"/>
      </w:pPr>
      <w:r>
        <w:rPr>
          <w:b/>
          <w:color w:val="2E75B6"/>
          <w:sz w:val="26"/>
        </w:rPr>
        <w:t>12.9  Heritage Expeditions</w:t>
      </w:r>
    </w:p>
    <w:p w:rsidR="004E6834" w:rsidRDefault="006836CB">
      <w:pPr>
        <w:spacing w:after="120"/>
      </w:pPr>
      <w:r>
        <w:t xml:space="preserve">Heritage Expeditions, with trade receivables of </w:t>
      </w:r>
      <w:r>
        <w:rPr>
          <w:b/>
          <w:color w:val="1F3864"/>
        </w:rPr>
        <w:t xml:space="preserve">US$368,854 </w:t>
      </w:r>
      <w:r>
        <w:t xml:space="preserve">— the second largest receivable balance by unit — represents the Group's adventure and specialist tourism offering. Revenue for Q1 2026 is estimated at </w:t>
      </w:r>
      <w:r>
        <w:rPr>
          <w:b/>
          <w:color w:val="1F3864"/>
        </w:rPr>
        <w:t xml:space="preserve">US$___ </w:t>
      </w:r>
      <w:r>
        <w:t>against a budget of US$___. The unit is expected to benefit from the growth in the international inbound specialist market.</w:t>
      </w:r>
    </w:p>
    <w:p w:rsidR="004E6834" w:rsidRDefault="006836CB">
      <w:r>
        <w:br w:type="page"/>
      </w:r>
    </w:p>
    <w:p w:rsidR="004E6834" w:rsidRDefault="006836CB">
      <w:pPr>
        <w:pBdr>
          <w:bottom w:val="single" w:sz="12" w:space="1" w:color="2E75B6"/>
        </w:pBdr>
        <w:spacing w:before="360" w:after="120"/>
      </w:pPr>
      <w:r>
        <w:rPr>
          <w:b/>
          <w:color w:val="1F3864"/>
          <w:sz w:val="32"/>
        </w:rPr>
        <w:lastRenderedPageBreak/>
        <w:t>13.  CONCLUSION AND OUTLOOK</w:t>
      </w:r>
    </w:p>
    <w:p w:rsidR="004E6834" w:rsidRDefault="006836CB">
      <w:pPr>
        <w:spacing w:after="120"/>
      </w:pPr>
      <w:r>
        <w:t xml:space="preserve">The Group has delivered a </w:t>
      </w:r>
      <w:r>
        <w:rPr>
          <w:b/>
          <w:color w:val="1F3864"/>
        </w:rPr>
        <w:t xml:space="preserve">standout Q1 2026 performance </w:t>
      </w:r>
      <w:r>
        <w:t>— with total revenues of US$11,410,909 exceeding budget by 21.3% and SPLY by 31.9%, and a PBT of US$1,523,816 representing a historic turnaround versus both a budgeted loss and a prior-year loss. EBITDA of US$2,521,308 at 22.1% margin represents a 13.8× outperformance versus budget. These results validate the Group's strategic direction and the effectiveness of its Revenue Generation Program, yield management practices, and market diversification.</w:t>
      </w:r>
    </w:p>
    <w:p w:rsidR="004E6834" w:rsidRDefault="006836CB">
      <w:pPr>
        <w:spacing w:after="120"/>
      </w:pPr>
      <w:r>
        <w:t>We achieved this transformation because of disciplined execution of the Group's pricing and yield strategy — driving ADR to US$111.53 (near the US$112 target); the successful development of replacement business to offset reduced government and USAID bookings; value unlocked from refurbished properties; and significant operational cost discipline. The March 2026 data points — 59% occupancy, US$110 ADR, US$64.90 RevPAR — confirm that the Group is performing at target levels when the commercial environment is normalised.</w:t>
      </w:r>
    </w:p>
    <w:p w:rsidR="004E6834" w:rsidRDefault="006836CB">
      <w:pPr>
        <w:spacing w:after="120"/>
      </w:pPr>
      <w:r>
        <w:t>Key areas of focus for the remainder of 2026:</w:t>
      </w:r>
    </w:p>
    <w:p w:rsidR="004E6834" w:rsidRDefault="006836CB">
      <w:pPr>
        <w:pStyle w:val="ListBullet"/>
        <w:spacing w:after="60"/>
      </w:pPr>
      <w:r>
        <w:rPr>
          <w:b/>
          <w:color w:val="1F3864"/>
        </w:rPr>
        <w:t xml:space="preserve">Occupancy recovery: </w:t>
      </w:r>
      <w:r>
        <w:t>Close the gap from the 52% Q1 average to the 59% annual target. March's 59% provides confidence that sustained Q2-Q3 performance is achievable.</w:t>
      </w:r>
    </w:p>
    <w:p w:rsidR="004E6834" w:rsidRDefault="006836CB">
      <w:pPr>
        <w:pStyle w:val="ListBullet"/>
        <w:spacing w:after="60"/>
      </w:pPr>
      <w:r>
        <w:rPr>
          <w:b/>
          <w:color w:val="1F3864"/>
        </w:rPr>
        <w:t xml:space="preserve">Government debt collections: </w:t>
      </w:r>
      <w:r>
        <w:t>Accelerate recoveries from the Office of the President (US$3.6m), JSC (US$831k), and Ministry of Local Government (US$543k) to improve liquidity and reduce the 64-day average collection period toward the 33-day target.</w:t>
      </w:r>
    </w:p>
    <w:p w:rsidR="004E6834" w:rsidRDefault="006836CB">
      <w:pPr>
        <w:pStyle w:val="ListBullet"/>
        <w:spacing w:after="60"/>
      </w:pPr>
      <w:r>
        <w:rPr>
          <w:b/>
          <w:color w:val="1F3864"/>
        </w:rPr>
        <w:t xml:space="preserve">Statutory compliance: </w:t>
      </w:r>
      <w:r>
        <w:t>Implement a structured payment plan to address the US$8.7m statutory liability position, prioritising ZIMRA (VAT + PAYE), NSSA, and pension fund obligations.</w:t>
      </w:r>
    </w:p>
    <w:p w:rsidR="004E6834" w:rsidRDefault="006836CB">
      <w:pPr>
        <w:pStyle w:val="ListBullet"/>
        <w:spacing w:after="60"/>
      </w:pPr>
      <w:r>
        <w:rPr>
          <w:b/>
          <w:color w:val="1F3864"/>
        </w:rPr>
        <w:t xml:space="preserve">Liquidity improvement: </w:t>
      </w:r>
      <w:r>
        <w:t>Improve the current ratio from 0.83 toward the 1.35 target through accelerated collections and working capital optimisation.</w:t>
      </w:r>
    </w:p>
    <w:p w:rsidR="004E6834" w:rsidRDefault="006836CB">
      <w:pPr>
        <w:pStyle w:val="ListBullet"/>
        <w:spacing w:after="60"/>
      </w:pPr>
      <w:r>
        <w:rPr>
          <w:b/>
          <w:color w:val="1F3864"/>
        </w:rPr>
        <w:t xml:space="preserve">RevPAR uplift: </w:t>
      </w:r>
      <w:r>
        <w:t>Bridge the RevPAR gap (US$49.74 YTD vs US$66.08 target) by sustaining March-level occupancy through Q2 and Q3.</w:t>
      </w:r>
    </w:p>
    <w:p w:rsidR="004E6834" w:rsidRDefault="006836CB">
      <w:pPr>
        <w:pStyle w:val="ListBullet"/>
        <w:spacing w:after="60"/>
      </w:pPr>
      <w:r>
        <w:rPr>
          <w:b/>
          <w:color w:val="1F3864"/>
        </w:rPr>
        <w:t xml:space="preserve">Other operating expenses: </w:t>
      </w:r>
      <w:r>
        <w:t>Investigate and address the US$1,282k unfavourable variance in other operating expenses to ensure normalisation in Q2.</w:t>
      </w:r>
    </w:p>
    <w:p w:rsidR="004E6834" w:rsidRDefault="004E6834"/>
    <w:p w:rsidR="004E6834" w:rsidRDefault="006836CB">
      <w:pPr>
        <w:spacing w:after="120"/>
      </w:pPr>
      <w:r>
        <w:t>With the annual revenue target of US$56.8 million and Q1 delivering US$11.4 million (20.1% of full-year target in three months), the Board and Management remain confident in the Group's ability to deliver on its 2026 objectives — subject to sustaining commercial momentum and resolving working capital and statutory compliance challenges. The Group's strongest Q1 PBT in recent years establishes a powerful foundation for 2026.</w:t>
      </w:r>
    </w:p>
    <w:p w:rsidR="004E6834" w:rsidRDefault="004E6834"/>
    <w:tbl>
      <w:tblPr>
        <w:tblStyle w:val="TableGrid"/>
        <w:tblW w:w="0" w:type="auto"/>
        <w:tblLook w:val="04A0" w:firstRow="1" w:lastRow="0" w:firstColumn="1" w:lastColumn="0" w:noHBand="0" w:noVBand="1"/>
      </w:tblPr>
      <w:tblGrid>
        <w:gridCol w:w="9360"/>
      </w:tblGrid>
      <w:tr w:rsidR="004E6834">
        <w:tc>
          <w:tcPr>
            <w:tcW w:w="9360" w:type="dxa"/>
            <w:shd w:val="clear" w:color="auto" w:fill="1F3864"/>
          </w:tcPr>
          <w:p w:rsidR="004E6834" w:rsidRDefault="004E6834"/>
          <w:p w:rsidR="004E6834" w:rsidRDefault="006836CB">
            <w:pPr>
              <w:jc w:val="center"/>
            </w:pPr>
            <w:r>
              <w:rPr>
                <w:b/>
                <w:color w:val="FFFFFF"/>
                <w:sz w:val="26"/>
              </w:rPr>
              <w:t>END OF Q1 2026 MANAGEMENT ACCOUNTS COMMENTARY</w:t>
            </w:r>
          </w:p>
          <w:p w:rsidR="004E6834" w:rsidRDefault="006836CB">
            <w:pPr>
              <w:jc w:val="center"/>
            </w:pPr>
            <w:r>
              <w:rPr>
                <w:color w:val="FFFFFF"/>
              </w:rPr>
              <w:t>Rainbow Tourism Group Limited  |  Finance Department  |  May 2026</w:t>
            </w:r>
          </w:p>
        </w:tc>
      </w:tr>
    </w:tbl>
    <w:p w:rsidR="006836CB" w:rsidRDefault="006836CB"/>
    <w:sectPr w:rsidR="006836CB"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3FE5"/>
    <w:rsid w:val="00326F90"/>
    <w:rsid w:val="004E6834"/>
    <w:rsid w:val="0056068D"/>
    <w:rsid w:val="005A7B0B"/>
    <w:rsid w:val="00682782"/>
    <w:rsid w:val="006836CB"/>
    <w:rsid w:val="006A25B2"/>
    <w:rsid w:val="00760BD3"/>
    <w:rsid w:val="00987884"/>
    <w:rsid w:val="009B7816"/>
    <w:rsid w:val="009D6B27"/>
    <w:rsid w:val="009F3EEF"/>
    <w:rsid w:val="00AA1D8D"/>
    <w:rsid w:val="00AD0F0A"/>
    <w:rsid w:val="00B27CB6"/>
    <w:rsid w:val="00B47730"/>
    <w:rsid w:val="00CB0664"/>
    <w:rsid w:val="00CF14D3"/>
    <w:rsid w:val="00D63B0C"/>
    <w:rsid w:val="00E87718"/>
    <w:rsid w:val="00F32C32"/>
    <w:rsid w:val="00F334C7"/>
    <w:rsid w:val="00F6739C"/>
    <w:rsid w:val="00F8464A"/>
    <w:rsid w:val="00F964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6F882"/>
  <w14:defaultImageDpi w14:val="300"/>
  <w15:docId w15:val="{2B308578-419A-4322-A29A-93B2F319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E015C3-2C0A-4D15-8081-E2DDD6F49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15</Pages>
  <Words>3947</Words>
  <Characters>22503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Geraldine</cp:lastModifiedBy>
  <cp:revision>3</cp:revision>
  <dcterms:created xsi:type="dcterms:W3CDTF">2013-12-23T23:15:00Z</dcterms:created>
  <dcterms:modified xsi:type="dcterms:W3CDTF">2026-05-07T03:57:00Z</dcterms:modified>
  <cp:category/>
</cp:coreProperties>
</file>