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D137" w14:textId="2EC557F5" w:rsidR="007620DC" w:rsidRDefault="007620DC">
      <w:pPr>
        <w:rPr>
          <w:lang w:val="en-US"/>
        </w:rPr>
      </w:pPr>
      <w:r>
        <w:rPr>
          <w:lang w:val="en-US"/>
        </w:rPr>
        <w:t>(</w:t>
      </w:r>
      <w:proofErr w:type="gramStart"/>
      <w:r>
        <w:rPr>
          <w:lang w:val="en-US"/>
        </w:rPr>
        <w:t>what</w:t>
      </w:r>
      <w:proofErr w:type="gramEnd"/>
      <w:r>
        <w:rPr>
          <w:lang w:val="en-US"/>
        </w:rPr>
        <w:t xml:space="preserve"> citation format are we using? We are free to choose but need to pick one)</w:t>
      </w:r>
      <w:r w:rsidR="009C374A">
        <w:rPr>
          <w:lang w:val="en-US"/>
        </w:rPr>
        <w:t>: APA</w:t>
      </w:r>
    </w:p>
    <w:p w14:paraId="147C81BB" w14:textId="77777777" w:rsidR="007620DC" w:rsidRDefault="007620DC">
      <w:pPr>
        <w:rPr>
          <w:lang w:val="en-US"/>
        </w:rPr>
      </w:pPr>
    </w:p>
    <w:p w14:paraId="2BFA5113" w14:textId="3D6CDD8F" w:rsidR="000D4EEF" w:rsidRDefault="00460ECB">
      <w:pPr>
        <w:rPr>
          <w:lang w:val="en-US"/>
        </w:rPr>
      </w:pPr>
      <w:r>
        <w:rPr>
          <w:lang w:val="en-US"/>
        </w:rPr>
        <w:t xml:space="preserve">Depth influences magnitudes: </w:t>
      </w:r>
    </w:p>
    <w:p w14:paraId="3D0512B4" w14:textId="77777777" w:rsidR="00460ECB" w:rsidRDefault="00000000">
      <w:pPr>
        <w:rPr>
          <w:lang w:val="en-US"/>
        </w:rPr>
      </w:pPr>
      <w:hyperlink r:id="rId5" w:history="1">
        <w:r w:rsidR="00460ECB" w:rsidRPr="00B1279E">
          <w:rPr>
            <w:rStyle w:val="Hyperlink"/>
            <w:lang w:val="en-US"/>
          </w:rPr>
          <w:t>https://www.nature.com/articles/365045a0</w:t>
        </w:r>
      </w:hyperlink>
    </w:p>
    <w:p w14:paraId="06AB6434" w14:textId="77777777" w:rsidR="00460ECB" w:rsidRDefault="00460ECB">
      <w:pPr>
        <w:rPr>
          <w:lang w:val="en-US"/>
        </w:rPr>
      </w:pPr>
    </w:p>
    <w:p w14:paraId="782FC613" w14:textId="77777777" w:rsidR="00460ECB" w:rsidRDefault="00460ECB">
      <w:pPr>
        <w:rPr>
          <w:lang w:val="en-US"/>
        </w:rPr>
      </w:pPr>
    </w:p>
    <w:p w14:paraId="46C82AB3" w14:textId="12001507" w:rsidR="008073D8" w:rsidRDefault="00B125DA">
      <w:pPr>
        <w:rPr>
          <w:lang w:val="en-US"/>
        </w:rPr>
      </w:pPr>
      <w:r>
        <w:rPr>
          <w:lang w:val="en-US"/>
        </w:rPr>
        <w:t xml:space="preserve">citation for our </w:t>
      </w:r>
      <w:proofErr w:type="gramStart"/>
      <w:r w:rsidR="008073D8">
        <w:rPr>
          <w:lang w:val="en-US"/>
        </w:rPr>
        <w:t>datasets</w:t>
      </w:r>
      <w:r>
        <w:rPr>
          <w:lang w:val="en-US"/>
        </w:rPr>
        <w:t xml:space="preserve"> </w:t>
      </w:r>
      <w:r w:rsidR="008073D8">
        <w:rPr>
          <w:lang w:val="en-US"/>
        </w:rPr>
        <w:t>:</w:t>
      </w:r>
      <w:proofErr w:type="gramEnd"/>
    </w:p>
    <w:p w14:paraId="768BC186" w14:textId="77777777" w:rsidR="008073D8" w:rsidRPr="008073D8" w:rsidRDefault="008073D8" w:rsidP="008073D8">
      <w:pPr>
        <w:numPr>
          <w:ilvl w:val="0"/>
          <w:numId w:val="2"/>
        </w:numPr>
      </w:pPr>
      <w:proofErr w:type="spellStart"/>
      <w:r w:rsidRPr="008073D8">
        <w:t>Waldhauser</w:t>
      </w:r>
      <w:proofErr w:type="spellEnd"/>
      <w:r w:rsidRPr="008073D8">
        <w:t xml:space="preserve">, F. and D.P. Schaff, Large-scale relocation of two decades of Northern California seismicity using cross-correlation and double-difference methods, J. </w:t>
      </w:r>
      <w:proofErr w:type="spellStart"/>
      <w:r w:rsidRPr="008073D8">
        <w:t>Geophys</w:t>
      </w:r>
      <w:proofErr w:type="spellEnd"/>
      <w:r w:rsidRPr="008073D8">
        <w:t>. Res.,113, B08311, </w:t>
      </w:r>
      <w:hyperlink r:id="rId6" w:history="1">
        <w:r w:rsidRPr="008073D8">
          <w:rPr>
            <w:rStyle w:val="Hyperlink"/>
          </w:rPr>
          <w:t>doi:10.1029/2007JB005479, 2008</w:t>
        </w:r>
      </w:hyperlink>
      <w:r w:rsidRPr="008073D8">
        <w:t>.</w:t>
      </w:r>
    </w:p>
    <w:p w14:paraId="6A8C2B10" w14:textId="77777777" w:rsidR="008073D8" w:rsidRDefault="008073D8" w:rsidP="008073D8">
      <w:pPr>
        <w:numPr>
          <w:ilvl w:val="0"/>
          <w:numId w:val="2"/>
        </w:numPr>
      </w:pPr>
      <w:proofErr w:type="spellStart"/>
      <w:r w:rsidRPr="008073D8">
        <w:t>Waldhauser</w:t>
      </w:r>
      <w:proofErr w:type="spellEnd"/>
      <w:r w:rsidRPr="008073D8">
        <w:t>, F., Near-real-time double-difference event location using long-term seismic archives, with application to Northern California, Bull. Seism. Soc. Am., 99, 2736-2848, </w:t>
      </w:r>
      <w:hyperlink r:id="rId7" w:history="1">
        <w:r w:rsidRPr="008073D8">
          <w:rPr>
            <w:rStyle w:val="Hyperlink"/>
          </w:rPr>
          <w:t>doi:10.1785/0120080294, 2009</w:t>
        </w:r>
      </w:hyperlink>
      <w:r w:rsidRPr="008073D8">
        <w:t>.</w:t>
      </w:r>
    </w:p>
    <w:p w14:paraId="639F4E69" w14:textId="77777777" w:rsidR="009E3645" w:rsidRDefault="009E3645" w:rsidP="009E3645"/>
    <w:p w14:paraId="39EF8DA0" w14:textId="2FF6D064" w:rsidR="009E3645" w:rsidRDefault="00B125DA" w:rsidP="009E3645">
      <w:r>
        <w:t xml:space="preserve">Papers that </w:t>
      </w:r>
      <w:proofErr w:type="gramStart"/>
      <w:r>
        <w:t>uses</w:t>
      </w:r>
      <w:proofErr w:type="gramEnd"/>
      <w:r>
        <w:t xml:space="preserve"> our dataset:</w:t>
      </w:r>
    </w:p>
    <w:p w14:paraId="58AF8FB1" w14:textId="0B9674A5" w:rsidR="00B125DA" w:rsidRDefault="00B125DA" w:rsidP="00B125DA">
      <w:pPr>
        <w:pStyle w:val="ListParagraph"/>
        <w:numPr>
          <w:ilvl w:val="0"/>
          <w:numId w:val="5"/>
        </w:numPr>
      </w:pPr>
      <w:r w:rsidRPr="00B125DA">
        <w:t xml:space="preserve">A Comparison of Bayesian Hierarchical Space-Time Models for Earthquake Data </w:t>
      </w:r>
      <w:r>
        <w:t xml:space="preserve"> By </w:t>
      </w:r>
      <w:r w:rsidRPr="00B125DA">
        <w:t xml:space="preserve">Bent NATVIG and </w:t>
      </w:r>
      <w:proofErr w:type="spellStart"/>
      <w:r w:rsidRPr="00B125DA">
        <w:t>Ingunn</w:t>
      </w:r>
      <w:proofErr w:type="spellEnd"/>
      <w:r w:rsidRPr="00B125DA">
        <w:t xml:space="preserve"> </w:t>
      </w:r>
      <w:proofErr w:type="spellStart"/>
      <w:r w:rsidRPr="00B125DA">
        <w:t>Fride</w:t>
      </w:r>
      <w:proofErr w:type="spellEnd"/>
      <w:r w:rsidRPr="00B125DA">
        <w:t xml:space="preserve"> TVETE</w:t>
      </w:r>
      <w:r>
        <w:t xml:space="preserve">, </w:t>
      </w:r>
      <w:hyperlink r:id="rId8" w:history="1">
        <w:r w:rsidRPr="00A51BC9">
          <w:rPr>
            <w:rStyle w:val="Hyperlink"/>
          </w:rPr>
          <w:t>http://webdoc.sub.gwdg.de/ebook/serien/e/uio_statistical_rr/07-04.pdf</w:t>
        </w:r>
      </w:hyperlink>
      <w:r>
        <w:t xml:space="preserve"> </w:t>
      </w:r>
    </w:p>
    <w:p w14:paraId="5B0E5CCB" w14:textId="3B7323C8" w:rsidR="00B125DA" w:rsidRDefault="00B125DA" w:rsidP="00B125DA">
      <w:pPr>
        <w:pStyle w:val="ListParagraph"/>
        <w:numPr>
          <w:ilvl w:val="1"/>
          <w:numId w:val="5"/>
        </w:numPr>
        <w:rPr>
          <w:u w:val="single"/>
        </w:rPr>
      </w:pPr>
      <w:r>
        <w:t>The focus of this paper is:</w:t>
      </w:r>
      <w:r w:rsidRPr="00B125DA">
        <w:t xml:space="preserve"> how large </w:t>
      </w:r>
      <w:r w:rsidRPr="00B125DA">
        <w:rPr>
          <w:u w:val="single"/>
        </w:rPr>
        <w:t>the maximal earthquake for a given time period and grid cell goin</w:t>
      </w:r>
      <w:r>
        <w:rPr>
          <w:u w:val="single"/>
        </w:rPr>
        <w:t>g</w:t>
      </w:r>
    </w:p>
    <w:p w14:paraId="21D67166" w14:textId="77777777" w:rsidR="007620DC" w:rsidRDefault="007620DC" w:rsidP="007620DC">
      <w:pPr>
        <w:pStyle w:val="ListParagraph"/>
        <w:numPr>
          <w:ilvl w:val="0"/>
          <w:numId w:val="5"/>
        </w:numPr>
      </w:pPr>
      <w:r w:rsidRPr="007620DC">
        <w:t>Gordon J. Ross; Bayesian Estimation of the ETAS Model for Earthquake Occurrences. </w:t>
      </w:r>
      <w:r w:rsidRPr="007620DC">
        <w:rPr>
          <w:i/>
          <w:iCs/>
        </w:rPr>
        <w:t>Bulletin of the Seismological Society of America</w:t>
      </w:r>
      <w:r w:rsidRPr="007620DC">
        <w:t> </w:t>
      </w:r>
      <w:proofErr w:type="gramStart"/>
      <w:r w:rsidRPr="007620DC">
        <w:t>2021;;</w:t>
      </w:r>
      <w:proofErr w:type="gramEnd"/>
      <w:r w:rsidRPr="007620DC">
        <w:t xml:space="preserve"> 111 (3): 1473–1480. </w:t>
      </w:r>
      <w:proofErr w:type="spellStart"/>
      <w:r w:rsidRPr="007620DC">
        <w:t>doi</w:t>
      </w:r>
      <w:proofErr w:type="spellEnd"/>
      <w:r w:rsidRPr="007620DC">
        <w:t>: </w:t>
      </w:r>
      <w:hyperlink r:id="rId9" w:tgtFrame="_blank" w:history="1">
        <w:r w:rsidRPr="007620DC">
          <w:rPr>
            <w:rStyle w:val="Hyperlink"/>
          </w:rPr>
          <w:t>https://doi.org/10.1785/0120200198</w:t>
        </w:r>
      </w:hyperlink>
    </w:p>
    <w:p w14:paraId="5E398FB1" w14:textId="62B71388" w:rsidR="007620DC" w:rsidRPr="00655619" w:rsidRDefault="007620DC" w:rsidP="00655619">
      <w:pPr>
        <w:pStyle w:val="ListParagraph"/>
        <w:numPr>
          <w:ilvl w:val="1"/>
          <w:numId w:val="5"/>
        </w:numPr>
      </w:pPr>
      <w:r>
        <w:t>This uses our dataset, and uses ETAS model to do prediction.</w:t>
      </w:r>
    </w:p>
    <w:p w14:paraId="1F70E650" w14:textId="77777777" w:rsidR="00B125DA" w:rsidRDefault="00B125DA" w:rsidP="00B125DA">
      <w:pPr>
        <w:rPr>
          <w:u w:val="single"/>
        </w:rPr>
      </w:pPr>
    </w:p>
    <w:p w14:paraId="0E5707C5" w14:textId="77777777" w:rsidR="00B125DA" w:rsidRPr="00B125DA" w:rsidRDefault="00B125DA" w:rsidP="00B125DA">
      <w:pPr>
        <w:rPr>
          <w:u w:val="single"/>
        </w:rPr>
      </w:pPr>
    </w:p>
    <w:p w14:paraId="774491BB" w14:textId="77777777" w:rsidR="009E3645" w:rsidRDefault="009E3645" w:rsidP="009E3645"/>
    <w:p w14:paraId="01DA21D0" w14:textId="6F761CB4" w:rsidR="009E3645" w:rsidRDefault="009E3645" w:rsidP="009E3645">
      <w:r>
        <w:t>Suggested ways for our modeling (for numbers of earthquake happening) (by month? We can also filter and focus on stronger earthquakes like M4.0+ instead of M3.0+)</w:t>
      </w:r>
    </w:p>
    <w:p w14:paraId="5EAB7F8B" w14:textId="77777777" w:rsidR="007620DC" w:rsidRDefault="007620DC" w:rsidP="009E3645"/>
    <w:p w14:paraId="66DE04D2" w14:textId="037B3FEB" w:rsidR="00EE7F60" w:rsidRDefault="00EE7F60" w:rsidP="009E3645">
      <w:r>
        <w:t>For the first two we can go with the easier theme</w:t>
      </w:r>
      <w:r w:rsidR="007620DC">
        <w:t xml:space="preserve">: comparing it with </w:t>
      </w:r>
      <w:r w:rsidR="007620DC" w:rsidRPr="007620DC">
        <w:t>frequentist</w:t>
      </w:r>
      <w:r w:rsidR="007620DC">
        <w:t xml:space="preserve"> </w:t>
      </w:r>
      <w:r w:rsidR="00B04B67">
        <w:t xml:space="preserve">time-series </w:t>
      </w:r>
      <w:r w:rsidR="007620DC">
        <w:t>models</w:t>
      </w:r>
      <w:r>
        <w:t>.</w:t>
      </w:r>
      <w:r w:rsidR="007620DC">
        <w:t xml:space="preserve"> We can say that since we are analyzing them in monthly basis, so we can try to treat the major earthquakes are the same as foreshock and aftershocks, and see what the results are, versus the ETAS model described below</w:t>
      </w:r>
    </w:p>
    <w:p w14:paraId="2C1199B2" w14:textId="77777777" w:rsidR="007620DC" w:rsidRDefault="007620DC" w:rsidP="009E3645"/>
    <w:p w14:paraId="547A5A45" w14:textId="3591A406" w:rsidR="009E3645" w:rsidRDefault="009E3645" w:rsidP="009E3645">
      <w:pPr>
        <w:pStyle w:val="ListParagraph"/>
        <w:numPr>
          <w:ilvl w:val="0"/>
          <w:numId w:val="3"/>
        </w:numPr>
      </w:pPr>
      <w:r>
        <w:t>Log-random walk model</w:t>
      </w:r>
    </w:p>
    <w:p w14:paraId="03EEA025" w14:textId="1CEDB668" w:rsidR="009E3645" w:rsidRDefault="009E3645" w:rsidP="009E3645">
      <w:r w:rsidRPr="009E3645">
        <w:t>This approach acknowledges the temporal clustering and periods of quiescence characteristic of seismic activity.</w:t>
      </w:r>
    </w:p>
    <w:p w14:paraId="41A7B117" w14:textId="0A0A17EB" w:rsidR="009E3645" w:rsidRDefault="009E3645" w:rsidP="009E3645">
      <w:r>
        <w:t>Key points to support this basic modelling:</w:t>
      </w:r>
    </w:p>
    <w:p w14:paraId="14249F6F" w14:textId="738BFE7C" w:rsidR="009E3645" w:rsidRPr="009E3645" w:rsidRDefault="009E3645" w:rsidP="009E3645">
      <w:pPr>
        <w:pStyle w:val="ListParagraph"/>
        <w:numPr>
          <w:ilvl w:val="0"/>
          <w:numId w:val="4"/>
        </w:numPr>
      </w:pPr>
      <w:r>
        <w:t xml:space="preserve">Ensures positivity of the rate parameter </w:t>
      </w:r>
      <m:oMath>
        <m:sSub>
          <m:sSubPr>
            <m:ctrlPr>
              <w:rPr>
                <w:rFonts w:ascii="Cambria Math" w:hAnsi="Cambria Math"/>
                <w:i/>
                <w:vertAlign w:val="subscript"/>
              </w:rPr>
            </m:ctrlPr>
          </m:sSubPr>
          <m:e>
            <m:r>
              <w:rPr>
                <w:rFonts w:ascii="Cambria Math" w:hAnsi="Cambria Math"/>
                <w:vertAlign w:val="subscript"/>
              </w:rPr>
              <m:t>λ</m:t>
            </m:r>
          </m:e>
          <m:sub>
            <m:r>
              <w:rPr>
                <w:rFonts w:ascii="Cambria Math" w:hAnsi="Cambria Math"/>
                <w:vertAlign w:val="subscript"/>
              </w:rPr>
              <m:t>t</m:t>
            </m:r>
          </m:sub>
        </m:sSub>
      </m:oMath>
    </w:p>
    <w:p w14:paraId="3AE47A95" w14:textId="18E4F405" w:rsidR="009E3645" w:rsidRDefault="009E3645" w:rsidP="009E3645">
      <w:pPr>
        <w:pStyle w:val="ListParagraph"/>
        <w:numPr>
          <w:ilvl w:val="0"/>
          <w:numId w:val="4"/>
        </w:numPr>
      </w:pPr>
      <w:r w:rsidRPr="009E3645">
        <w:t>allows for smooth transitions between time periods</w:t>
      </w:r>
    </w:p>
    <w:p w14:paraId="487274A0" w14:textId="76CCF834" w:rsidR="009E3645" w:rsidRDefault="009E3645" w:rsidP="009E3645">
      <w:pPr>
        <w:pStyle w:val="ListParagraph"/>
        <w:numPr>
          <w:ilvl w:val="0"/>
          <w:numId w:val="4"/>
        </w:numPr>
      </w:pPr>
      <w:r w:rsidRPr="009E3645">
        <w:t>captures both gradual shifts and more abrupt changes in seismicity rates</w:t>
      </w:r>
    </w:p>
    <w:p w14:paraId="04A8390C" w14:textId="5570FE93" w:rsidR="009E3645" w:rsidRPr="009E3645" w:rsidRDefault="00000000" w:rsidP="009E3645">
      <w:pPr>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t</m:t>
              </m:r>
            </m:sub>
          </m:sSub>
          <m:r>
            <m:rPr>
              <m:sty m:val="p"/>
            </m:rPr>
            <w:rPr>
              <w:rFonts w:ascii="Cambria Math" w:hAnsi="Cambria Math"/>
              <w:vertAlign w:val="subscript"/>
            </w:rPr>
            <m:t>∼</m:t>
          </m:r>
          <m:r>
            <w:rPr>
              <w:rFonts w:ascii="Cambria Math" w:hAnsi="Cambria Math"/>
              <w:vertAlign w:val="subscript"/>
            </w:rPr>
            <m:t>Poisson</m:t>
          </m:r>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vertAlign w:val="subscript"/>
                    </w:rPr>
                    <m:t>λ</m:t>
                  </m:r>
                </m:e>
                <m:sub>
                  <m:r>
                    <w:rPr>
                      <w:rFonts w:ascii="Cambria Math" w:hAnsi="Cambria Math"/>
                      <w:vertAlign w:val="subscript"/>
                    </w:rPr>
                    <m:t>t</m:t>
                  </m:r>
                </m:sub>
              </m:sSub>
            </m:e>
          </m:d>
        </m:oMath>
      </m:oMathPara>
    </w:p>
    <w:p w14:paraId="2489E29E" w14:textId="427ED693" w:rsidR="009E3645" w:rsidRPr="009E3645" w:rsidRDefault="00000000" w:rsidP="009E3645">
      <w:pPr>
        <w:rPr>
          <w:vertAlign w:val="subscript"/>
        </w:rPr>
      </w:pPr>
      <m:oMathPara>
        <m:oMath>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m:rPr>
                      <m:sty m:val="p"/>
                    </m:rP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t</m:t>
                  </m:r>
                </m:sub>
              </m:sSub>
            </m:e>
          </m:func>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m:rPr>
                      <m:sty m:val="p"/>
                    </m:rP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t-1</m:t>
                  </m:r>
                </m:sub>
              </m:sSub>
            </m:e>
          </m:func>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vertAlign w:val="subscript"/>
                </w:rPr>
                <m:t>ϵ</m:t>
              </m:r>
            </m:e>
            <m:sub>
              <m:r>
                <w:rPr>
                  <w:rFonts w:ascii="Cambria Math" w:hAnsi="Cambria Math"/>
                  <w:vertAlign w:val="subscript"/>
                </w:rPr>
                <m:t>t</m:t>
              </m:r>
            </m:sub>
          </m:sSub>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vertAlign w:val="subscript"/>
                </w:rPr>
                <m:t>ϵ</m:t>
              </m:r>
            </m:e>
            <m:sub>
              <m:r>
                <w:rPr>
                  <w:rFonts w:ascii="Cambria Math" w:hAnsi="Cambria Math"/>
                  <w:vertAlign w:val="subscript"/>
                </w:rPr>
                <m:t>t</m:t>
              </m:r>
            </m:sub>
          </m:sSub>
          <m:r>
            <m:rPr>
              <m:sty m:val="p"/>
            </m:rPr>
            <w:rPr>
              <w:rFonts w:ascii="Cambria Math" w:hAnsi="Cambria Math"/>
              <w:vertAlign w:val="subscript"/>
            </w:rPr>
            <m:t>∼</m:t>
          </m:r>
          <m:r>
            <w:rPr>
              <w:rFonts w:ascii="Cambria Math" w:hAnsi="Cambria Math"/>
              <w:vertAlign w:val="subscript"/>
            </w:rPr>
            <m:t>N</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m:rPr>
                      <m:sty m:val="p"/>
                    </m:rPr>
                    <w:rPr>
                      <w:rFonts w:ascii="Cambria Math" w:hAnsi="Cambria Math"/>
                      <w:vertAlign w:val="subscript"/>
                    </w:rPr>
                    <m:t>σ</m:t>
                  </m:r>
                </m:e>
                <m:sup>
                  <m:r>
                    <w:rPr>
                      <w:rFonts w:ascii="Cambria Math" w:hAnsi="Cambria Math"/>
                      <w:vertAlign w:val="subscript"/>
                    </w:rPr>
                    <m:t>2</m:t>
                  </m:r>
                </m:sup>
              </m:sSup>
            </m:e>
          </m:d>
        </m:oMath>
      </m:oMathPara>
    </w:p>
    <w:p w14:paraId="1AC1526A" w14:textId="77777777" w:rsidR="009E3645" w:rsidRPr="009E3645" w:rsidRDefault="009E3645" w:rsidP="009E3645">
      <w:pPr>
        <w:rPr>
          <w:vertAlign w:val="subscript"/>
        </w:rPr>
      </w:pPr>
    </w:p>
    <w:p w14:paraId="0BB58B90" w14:textId="78DC4958" w:rsidR="008073D8" w:rsidRDefault="008073D8" w:rsidP="00EE7F60">
      <w:pPr>
        <w:rPr>
          <w:lang w:val="en-US"/>
        </w:rPr>
      </w:pPr>
    </w:p>
    <w:p w14:paraId="338497E5" w14:textId="071A0790" w:rsidR="00EE7F60" w:rsidRPr="00B125DA" w:rsidRDefault="00EE7F60" w:rsidP="00B125DA">
      <w:pPr>
        <w:pStyle w:val="ListParagraph"/>
        <w:numPr>
          <w:ilvl w:val="0"/>
          <w:numId w:val="3"/>
        </w:numPr>
        <w:rPr>
          <w:lang w:val="en-US"/>
        </w:rPr>
      </w:pPr>
      <w:r>
        <w:rPr>
          <w:lang w:val="en-US"/>
        </w:rPr>
        <w:t>Hierarchical Model (spatial modeling</w:t>
      </w:r>
      <w:r w:rsidR="00B125DA">
        <w:rPr>
          <w:lang w:val="en-US"/>
        </w:rPr>
        <w:t>)</w:t>
      </w:r>
    </w:p>
    <w:p w14:paraId="365CE8E1" w14:textId="06E060F5" w:rsidR="00EE7F60" w:rsidRPr="009E3645" w:rsidRDefault="00000000" w:rsidP="00EE7F60">
      <w:pPr>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m:rPr>
              <m:sty m:val="p"/>
            </m:rPr>
            <w:rPr>
              <w:rFonts w:ascii="Cambria Math" w:hAnsi="Cambria Math"/>
              <w:vertAlign w:val="subscript"/>
            </w:rPr>
            <m:t>∼</m:t>
          </m:r>
          <m:r>
            <w:rPr>
              <w:rFonts w:ascii="Cambria Math" w:hAnsi="Cambria Math"/>
              <w:vertAlign w:val="subscript"/>
            </w:rPr>
            <m:t>Poisson</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λ</m:t>
                  </m:r>
                </m:e>
                <m:sub>
                  <m:r>
                    <w:rPr>
                      <w:rFonts w:ascii="Cambria Math" w:hAnsi="Cambria Math"/>
                      <w:vertAlign w:val="subscript"/>
                    </w:rPr>
                    <m:t>i,t</m:t>
                  </m:r>
                </m:sub>
              </m:sSub>
            </m:e>
          </m:d>
          <m:r>
            <w:rPr>
              <w:rFonts w:ascii="Cambria Math" w:hAnsi="Cambria Math"/>
              <w:vertAlign w:val="subscript"/>
            </w:rPr>
            <m:t>, for region i at time t</m:t>
          </m:r>
        </m:oMath>
      </m:oMathPara>
    </w:p>
    <w:p w14:paraId="255ECA85" w14:textId="2C227021" w:rsidR="00EE7F60" w:rsidRPr="00EE7F60" w:rsidRDefault="00000000" w:rsidP="00EE7F60">
      <w:pPr>
        <w:rPr>
          <w:vertAlign w:val="subscript"/>
        </w:rPr>
      </w:pPr>
      <m:oMathPara>
        <m:oMath>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i,t</m:t>
                  </m:r>
                </m:sub>
              </m:sSub>
            </m:e>
          </m:func>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i,t-1</m:t>
                  </m:r>
                </m:sub>
              </m:sSub>
            </m:e>
          </m:func>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p w14:paraId="54489B14" w14:textId="2A680DE8" w:rsidR="00EE7F60" w:rsidRPr="00EE7F60" w:rsidRDefault="00000000" w:rsidP="00EE7F60">
      <w:pPr>
        <w:rPr>
          <w:vertAlign w:val="subscript"/>
        </w:rPr>
      </w:pPr>
      <m:oMathPara>
        <m:oMath>
          <m:sSub>
            <m:sSubPr>
              <m:ctrlPr>
                <w:rPr>
                  <w:rFonts w:ascii="Cambria Math" w:hAnsi="Cambria Math"/>
                  <w:i/>
                  <w:vertAlign w:val="subscript"/>
                </w:rPr>
              </m:ctrlPr>
            </m:sSubPr>
            <m:e>
              <m:r>
                <w:rPr>
                  <w:rFonts w:ascii="Cambria Math" w:hAnsi="Cambria Math"/>
                  <w:vertAlign w:val="subscript"/>
                </w:rPr>
                <m:t>ϵ</m:t>
              </m:r>
              <m:ctrlPr>
                <w:rPr>
                  <w:rFonts w:ascii="Cambria Math" w:hAnsi="Cambria Math"/>
                  <w:i/>
                  <w:iCs/>
                  <w:vertAlign w:val="subscript"/>
                </w:rPr>
              </m:ctrlPr>
            </m:e>
            <m:sub>
              <m:r>
                <w:rPr>
                  <w:rFonts w:ascii="Cambria Math" w:hAnsi="Cambria Math"/>
                  <w:vertAlign w:val="subscript"/>
                </w:rPr>
                <m:t>i,t</m:t>
              </m:r>
            </m:sub>
          </m:sSub>
          <m:r>
            <m:rPr>
              <m:sty m:val="p"/>
            </m:rPr>
            <w:rPr>
              <w:rFonts w:ascii="Cambria Math" w:hAnsi="Cambria Math"/>
              <w:vertAlign w:val="subscript"/>
            </w:rPr>
            <m:t>∼</m:t>
          </m:r>
          <m:r>
            <w:rPr>
              <w:rFonts w:ascii="Cambria Math" w:hAnsi="Cambria Math"/>
              <w:vertAlign w:val="subscript"/>
            </w:rPr>
            <m:t>N</m:t>
          </m:r>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vertAlign w:val="subscript"/>
                    </w:rPr>
                    <m:t>μ</m:t>
                  </m:r>
                  <m:ctrlPr>
                    <w:rPr>
                      <w:rFonts w:ascii="Cambria Math" w:hAnsi="Cambria Math"/>
                      <w:vertAlign w:val="subscript"/>
                    </w:rPr>
                  </m:ctrlPr>
                </m:e>
                <m:sub>
                  <m:r>
                    <m:rPr>
                      <m:sty m:val="p"/>
                    </m:rPr>
                    <w:rPr>
                      <w:rFonts w:ascii="Cambria Math" w:hAnsi="Cambria Math"/>
                      <w:vertAlign w:val="subscript"/>
                    </w:rPr>
                    <m:t>ϵ</m:t>
                  </m:r>
                </m:sub>
              </m:sSub>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σ</m:t>
                  </m:r>
                  <m:ctrlPr>
                    <w:rPr>
                      <w:rFonts w:ascii="Cambria Math" w:hAnsi="Cambria Math"/>
                      <w:i/>
                      <w:iCs/>
                      <w:vertAlign w:val="subscript"/>
                    </w:rPr>
                  </m:ctrlPr>
                </m:e>
                <m:sub>
                  <m:r>
                    <m:rPr>
                      <m:sty m:val="p"/>
                    </m:rPr>
                    <w:rPr>
                      <w:rFonts w:ascii="Cambria Math" w:hAnsi="Cambria Math"/>
                      <w:vertAlign w:val="subscript"/>
                    </w:rPr>
                    <m:t>ϵ</m:t>
                  </m:r>
                </m:sub>
                <m:sup>
                  <m:r>
                    <w:rPr>
                      <w:rFonts w:ascii="Cambria Math" w:hAnsi="Cambria Math"/>
                      <w:vertAlign w:val="subscript"/>
                    </w:rPr>
                    <m:t>2</m:t>
                  </m:r>
                </m:sup>
              </m:sSubSup>
            </m:e>
          </m:d>
        </m:oMath>
      </m:oMathPara>
    </w:p>
    <w:p w14:paraId="674B7BC5" w14:textId="05F715C1" w:rsidR="00EE7F60" w:rsidRPr="00B125DA" w:rsidRDefault="00B125DA" w:rsidP="00EE7F60">
      <w:r>
        <w:t xml:space="preserve">Then place prior on hyperparameters </w:t>
      </w:r>
      <m:oMath>
        <m:sSub>
          <m:sSubPr>
            <m:ctrlPr>
              <w:rPr>
                <w:rFonts w:ascii="Cambria Math" w:hAnsi="Cambria Math"/>
                <w:i/>
                <w:vertAlign w:val="subscript"/>
              </w:rPr>
            </m:ctrlPr>
          </m:sSubPr>
          <m:e>
            <m:r>
              <w:rPr>
                <w:rFonts w:ascii="Cambria Math" w:hAnsi="Cambria Math"/>
                <w:vertAlign w:val="subscript"/>
              </w:rPr>
              <m:t>μ</m:t>
            </m:r>
            <m:ctrlPr>
              <w:rPr>
                <w:rFonts w:ascii="Cambria Math" w:hAnsi="Cambria Math"/>
                <w:vertAlign w:val="subscript"/>
              </w:rPr>
            </m:ctrlPr>
          </m:e>
          <m:sub>
            <m:r>
              <w:rPr>
                <w:rFonts w:ascii="Cambria Math" w:hAnsi="Cambria Math"/>
                <w:vertAlign w:val="subscript"/>
              </w:rPr>
              <m:t>ϵ</m:t>
            </m:r>
          </m:sub>
        </m:sSub>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σ</m:t>
            </m:r>
            <m:ctrlPr>
              <w:rPr>
                <w:rFonts w:ascii="Cambria Math" w:hAnsi="Cambria Math"/>
                <w:i/>
                <w:iCs/>
                <w:vertAlign w:val="subscript"/>
              </w:rPr>
            </m:ctrlPr>
          </m:e>
          <m:sub>
            <m:r>
              <w:rPr>
                <w:rFonts w:ascii="Cambria Math" w:hAnsi="Cambria Math"/>
                <w:vertAlign w:val="subscript"/>
              </w:rPr>
              <m:t>ϵ</m:t>
            </m:r>
          </m:sub>
          <m:sup>
            <m:r>
              <w:rPr>
                <w:rFonts w:ascii="Cambria Math" w:hAnsi="Cambria Math"/>
                <w:vertAlign w:val="subscript"/>
              </w:rPr>
              <m:t>2</m:t>
            </m:r>
          </m:sup>
        </m:sSubSup>
      </m:oMath>
    </w:p>
    <w:p w14:paraId="0730E62C" w14:textId="77777777" w:rsidR="00EE7F60" w:rsidRPr="00EE7F60" w:rsidRDefault="00EE7F60" w:rsidP="00EE7F60">
      <w:pPr>
        <w:rPr>
          <w:vertAlign w:val="subscript"/>
        </w:rPr>
      </w:pPr>
    </w:p>
    <w:p w14:paraId="37B021C0" w14:textId="04730B41" w:rsidR="000D7200" w:rsidRDefault="000D7200" w:rsidP="000D7200">
      <w:pPr>
        <w:pStyle w:val="ListParagraph"/>
        <w:numPr>
          <w:ilvl w:val="0"/>
          <w:numId w:val="3"/>
        </w:numPr>
      </w:pPr>
      <w:r>
        <w:t>ETAS model (done by several papers already and very difficult, also most of them used our dataset. It considers a large earthquake (an independent Poisson process), and aftershocks it excites (another Poisson process))</w:t>
      </w:r>
    </w:p>
    <w:p w14:paraId="51481195" w14:textId="77777777" w:rsidR="007620DC" w:rsidRDefault="007620DC" w:rsidP="007620DC"/>
    <w:p w14:paraId="6A78DA84" w14:textId="504624E9" w:rsidR="007620DC" w:rsidRDefault="007620DC" w:rsidP="007620DC">
      <w:pPr>
        <w:pStyle w:val="ListParagraph"/>
        <w:numPr>
          <w:ilvl w:val="0"/>
          <w:numId w:val="4"/>
        </w:numPr>
      </w:pPr>
      <w:r w:rsidRPr="007620DC">
        <w:t xml:space="preserve">Ogata, </w:t>
      </w:r>
      <w:proofErr w:type="spellStart"/>
      <w:r w:rsidRPr="007620DC">
        <w:t>Yosihiko</w:t>
      </w:r>
      <w:proofErr w:type="spellEnd"/>
      <w:r w:rsidRPr="007620DC">
        <w:t>. "Statistical models for earthquake occurrences and residual analysis for point processes." </w:t>
      </w:r>
      <w:r w:rsidRPr="007620DC">
        <w:rPr>
          <w:i/>
          <w:iCs/>
        </w:rPr>
        <w:t>Journal of the American Statistical association</w:t>
      </w:r>
      <w:r w:rsidRPr="007620DC">
        <w:t> 83.401 (1988): 9-27.</w:t>
      </w:r>
    </w:p>
    <w:p w14:paraId="175C0EAF" w14:textId="2B7A8165" w:rsidR="007620DC" w:rsidRDefault="007620DC" w:rsidP="007620DC">
      <w:pPr>
        <w:pStyle w:val="ListParagraph"/>
        <w:numPr>
          <w:ilvl w:val="1"/>
          <w:numId w:val="4"/>
        </w:numPr>
      </w:pPr>
      <w:r>
        <w:t>This describes the ETAS model</w:t>
      </w:r>
    </w:p>
    <w:p w14:paraId="378025E7" w14:textId="3CAB15A5" w:rsidR="007620DC" w:rsidRDefault="007620DC" w:rsidP="007620DC">
      <w:pPr>
        <w:pStyle w:val="ListParagraph"/>
        <w:numPr>
          <w:ilvl w:val="0"/>
          <w:numId w:val="4"/>
        </w:numPr>
      </w:pPr>
      <w:r w:rsidRPr="007620DC">
        <w:t>Gordon J. Ross; Bayesian Estimation of the ETAS Model for Earthquake Occurrences. </w:t>
      </w:r>
      <w:r w:rsidRPr="007620DC">
        <w:rPr>
          <w:i/>
          <w:iCs/>
        </w:rPr>
        <w:t>Bulletin of the Seismological Society of America</w:t>
      </w:r>
      <w:r w:rsidRPr="007620DC">
        <w:t> </w:t>
      </w:r>
      <w:proofErr w:type="gramStart"/>
      <w:r w:rsidRPr="007620DC">
        <w:t>2021;;</w:t>
      </w:r>
      <w:proofErr w:type="gramEnd"/>
      <w:r w:rsidRPr="007620DC">
        <w:t xml:space="preserve"> 111 (3): 1473–1480. </w:t>
      </w:r>
      <w:proofErr w:type="spellStart"/>
      <w:r w:rsidRPr="007620DC">
        <w:t>doi</w:t>
      </w:r>
      <w:proofErr w:type="spellEnd"/>
      <w:r w:rsidRPr="007620DC">
        <w:t>: </w:t>
      </w:r>
      <w:hyperlink r:id="rId10" w:tgtFrame="_blank" w:history="1">
        <w:r w:rsidRPr="007620DC">
          <w:rPr>
            <w:rStyle w:val="Hyperlink"/>
          </w:rPr>
          <w:t>https://doi.org/10.1785/0120200198</w:t>
        </w:r>
      </w:hyperlink>
    </w:p>
    <w:p w14:paraId="151EF30B" w14:textId="608311A5" w:rsidR="007620DC" w:rsidRDefault="007620DC" w:rsidP="007620DC">
      <w:pPr>
        <w:pStyle w:val="ListParagraph"/>
        <w:numPr>
          <w:ilvl w:val="1"/>
          <w:numId w:val="4"/>
        </w:numPr>
      </w:pPr>
      <w:r>
        <w:t>This uses our dataset, and uses ETAS model to do prediction.</w:t>
      </w:r>
    </w:p>
    <w:p w14:paraId="697EB6A5" w14:textId="77777777" w:rsidR="000D7200" w:rsidRPr="000D7200" w:rsidRDefault="000D7200" w:rsidP="000D7200">
      <w:pPr>
        <w:pStyle w:val="ListParagraph"/>
      </w:pPr>
    </w:p>
    <w:p w14:paraId="00C71FB8" w14:textId="7485635B" w:rsidR="00EE7F60" w:rsidRPr="00EE7F60" w:rsidRDefault="00EE7F60" w:rsidP="00EE7F60">
      <w:pPr>
        <w:ind w:left="360"/>
        <w:rPr>
          <w:lang w:val="en-US"/>
        </w:rPr>
      </w:pPr>
    </w:p>
    <w:p w14:paraId="52E9DABF" w14:textId="54496292" w:rsidR="008073D8" w:rsidRDefault="00960959">
      <w:pPr>
        <w:rPr>
          <w:lang w:val="en-US"/>
        </w:rPr>
      </w:pPr>
      <w:r>
        <w:t>Bayesian Hierarchical Modeling for Count Data</w:t>
      </w:r>
    </w:p>
    <w:p w14:paraId="64E49DC5" w14:textId="37B36803" w:rsidR="00960959" w:rsidRDefault="00960959">
      <w:pPr>
        <w:rPr>
          <w:lang w:val="en-US"/>
        </w:rPr>
      </w:pPr>
      <w:hyperlink r:id="rId11" w:history="1">
        <w:r w:rsidRPr="00B1279E">
          <w:rPr>
            <w:rStyle w:val="Hyperlink"/>
            <w:lang w:val="en-US"/>
          </w:rPr>
          <w:t>https://www.taylorfrancis.com/books/mono/10.1201/b16018/bayesian-data-analysis-david-dunson-donald-rubin-john-carlin-andrew-gelman-hal-stern-aki-vehtari</w:t>
        </w:r>
      </w:hyperlink>
    </w:p>
    <w:p w14:paraId="4B3C1B01" w14:textId="77777777" w:rsidR="00960959" w:rsidRPr="00960959" w:rsidRDefault="00960959" w:rsidP="00960959">
      <w:pPr>
        <w:spacing w:before="100" w:beforeAutospacing="1" w:after="100" w:afterAutospacing="1"/>
        <w:rPr>
          <w:rFonts w:ascii="Times New Roman" w:eastAsia="Times New Roman" w:hAnsi="Times New Roman" w:cs="Times New Roman"/>
          <w:kern w:val="0"/>
          <w14:ligatures w14:val="none"/>
        </w:rPr>
      </w:pPr>
      <w:proofErr w:type="gramStart"/>
      <w:r w:rsidRPr="00960959">
        <w:rPr>
          <w:rFonts w:ascii="Times New Roman" w:eastAsia="Times New Roman" w:hAnsi="Symbol" w:cs="Times New Roman"/>
          <w:kern w:val="0"/>
          <w14:ligatures w14:val="none"/>
        </w:rPr>
        <w:t></w:t>
      </w:r>
      <w:r w:rsidRPr="00960959">
        <w:rPr>
          <w:rFonts w:ascii="Times New Roman" w:eastAsia="Times New Roman" w:hAnsi="Times New Roman" w:cs="Times New Roman"/>
          <w:kern w:val="0"/>
          <w14:ligatures w14:val="none"/>
        </w:rPr>
        <w:t xml:space="preserve">  Hierarchical</w:t>
      </w:r>
      <w:proofErr w:type="gramEnd"/>
      <w:r w:rsidRPr="00960959">
        <w:rPr>
          <w:rFonts w:ascii="Times New Roman" w:eastAsia="Times New Roman" w:hAnsi="Times New Roman" w:cs="Times New Roman"/>
          <w:kern w:val="0"/>
          <w14:ligatures w14:val="none"/>
        </w:rPr>
        <w:t xml:space="preserve"> models for grouped/structured data (e.g., per-region effects </w:t>
      </w:r>
      <w:proofErr w:type="spellStart"/>
      <w:r w:rsidRPr="00960959">
        <w:rPr>
          <w:rFonts w:ascii="Times New Roman" w:eastAsia="Times New Roman" w:hAnsi="Times New Roman" w:cs="Times New Roman"/>
          <w:kern w:val="0"/>
          <w14:ligatures w14:val="none"/>
        </w:rPr>
        <w:t>uru_rur</w:t>
      </w:r>
      <w:proofErr w:type="spellEnd"/>
      <w:r w:rsidRPr="00960959">
        <w:rPr>
          <w:rFonts w:ascii="Times New Roman" w:eastAsia="Times New Roman" w:hAnsi="Times New Roman" w:cs="Times New Roman"/>
          <w:kern w:val="0"/>
          <w14:ligatures w14:val="none"/>
        </w:rPr>
        <w:t>​)</w:t>
      </w:r>
    </w:p>
    <w:p w14:paraId="5BE4CA55" w14:textId="77777777" w:rsidR="00960959" w:rsidRPr="00960959" w:rsidRDefault="00960959" w:rsidP="00960959">
      <w:pPr>
        <w:spacing w:before="100" w:beforeAutospacing="1" w:after="100" w:afterAutospacing="1"/>
        <w:rPr>
          <w:rFonts w:ascii="Times New Roman" w:eastAsia="Times New Roman" w:hAnsi="Times New Roman" w:cs="Times New Roman"/>
          <w:kern w:val="0"/>
          <w14:ligatures w14:val="none"/>
        </w:rPr>
      </w:pPr>
      <w:proofErr w:type="gramStart"/>
      <w:r w:rsidRPr="00960959">
        <w:rPr>
          <w:rFonts w:ascii="Times New Roman" w:eastAsia="Times New Roman" w:hAnsi="Symbol" w:cs="Times New Roman"/>
          <w:kern w:val="0"/>
          <w14:ligatures w14:val="none"/>
        </w:rPr>
        <w:t></w:t>
      </w:r>
      <w:r w:rsidRPr="00960959">
        <w:rPr>
          <w:rFonts w:ascii="Times New Roman" w:eastAsia="Times New Roman" w:hAnsi="Times New Roman" w:cs="Times New Roman"/>
          <w:kern w:val="0"/>
          <w14:ligatures w14:val="none"/>
        </w:rPr>
        <w:t xml:space="preserve">  Use</w:t>
      </w:r>
      <w:proofErr w:type="gramEnd"/>
      <w:r w:rsidRPr="00960959">
        <w:rPr>
          <w:rFonts w:ascii="Times New Roman" w:eastAsia="Times New Roman" w:hAnsi="Times New Roman" w:cs="Times New Roman"/>
          <w:kern w:val="0"/>
          <w14:ligatures w14:val="none"/>
        </w:rPr>
        <w:t xml:space="preserve"> of negative binomial distribution to handle overdispersion in count data</w:t>
      </w:r>
    </w:p>
    <w:p w14:paraId="7332F7F7" w14:textId="77777777" w:rsidR="00960959" w:rsidRPr="00960959" w:rsidRDefault="00960959" w:rsidP="00960959">
      <w:pPr>
        <w:spacing w:before="100" w:beforeAutospacing="1" w:after="100" w:afterAutospacing="1"/>
        <w:rPr>
          <w:rFonts w:ascii="Times New Roman" w:eastAsia="Times New Roman" w:hAnsi="Times New Roman" w:cs="Times New Roman"/>
          <w:kern w:val="0"/>
          <w14:ligatures w14:val="none"/>
        </w:rPr>
      </w:pPr>
      <w:proofErr w:type="gramStart"/>
      <w:r w:rsidRPr="00960959">
        <w:rPr>
          <w:rFonts w:ascii="Times New Roman" w:eastAsia="Times New Roman" w:hAnsi="Symbol" w:cs="Times New Roman"/>
          <w:kern w:val="0"/>
          <w14:ligatures w14:val="none"/>
        </w:rPr>
        <w:t></w:t>
      </w:r>
      <w:r w:rsidRPr="00960959">
        <w:rPr>
          <w:rFonts w:ascii="Times New Roman" w:eastAsia="Times New Roman" w:hAnsi="Times New Roman" w:cs="Times New Roman"/>
          <w:kern w:val="0"/>
          <w14:ligatures w14:val="none"/>
        </w:rPr>
        <w:t xml:space="preserve">  Half</w:t>
      </w:r>
      <w:proofErr w:type="gramEnd"/>
      <w:r w:rsidRPr="00960959">
        <w:rPr>
          <w:rFonts w:ascii="Times New Roman" w:eastAsia="Times New Roman" w:hAnsi="Times New Roman" w:cs="Times New Roman"/>
          <w:kern w:val="0"/>
          <w14:ligatures w14:val="none"/>
        </w:rPr>
        <w:t>-Cauchy priors for scale parameters</w:t>
      </w:r>
    </w:p>
    <w:p w14:paraId="6266373B" w14:textId="77777777" w:rsidR="00960959" w:rsidRDefault="00960959"/>
    <w:p w14:paraId="636A722B" w14:textId="42617DC6" w:rsidR="00960959" w:rsidRDefault="00960959">
      <w:r>
        <w:t>Bayesian Hierarchical Modeling of Earthquake Data</w:t>
      </w:r>
    </w:p>
    <w:p w14:paraId="5612EB1C" w14:textId="6AD6006A" w:rsidR="00960959" w:rsidRDefault="00960959">
      <w:hyperlink r:id="rId12" w:history="1">
        <w:r w:rsidRPr="00B1279E">
          <w:rPr>
            <w:rStyle w:val="Hyperlink"/>
          </w:rPr>
          <w:t>https://link.springer.com/article/10.1007/s11009-006-9008-0</w:t>
        </w:r>
      </w:hyperlink>
    </w:p>
    <w:p w14:paraId="6F783FDB" w14:textId="77777777" w:rsidR="00960959" w:rsidRDefault="00960959"/>
    <w:p w14:paraId="5700A793" w14:textId="77777777" w:rsidR="00960959" w:rsidRPr="00960959" w:rsidRDefault="00960959" w:rsidP="00960959">
      <w:pPr>
        <w:spacing w:before="100" w:beforeAutospacing="1" w:after="100" w:afterAutospacing="1"/>
        <w:rPr>
          <w:rFonts w:ascii="Times New Roman" w:eastAsia="Times New Roman" w:hAnsi="Times New Roman" w:cs="Times New Roman"/>
          <w:kern w:val="0"/>
          <w14:ligatures w14:val="none"/>
        </w:rPr>
      </w:pPr>
      <w:proofErr w:type="gramStart"/>
      <w:r w:rsidRPr="00960959">
        <w:rPr>
          <w:rFonts w:ascii="Times New Roman" w:eastAsia="Times New Roman" w:hAnsi="Symbol" w:cs="Times New Roman"/>
          <w:kern w:val="0"/>
          <w14:ligatures w14:val="none"/>
        </w:rPr>
        <w:t></w:t>
      </w:r>
      <w:r w:rsidRPr="00960959">
        <w:rPr>
          <w:rFonts w:ascii="Times New Roman" w:eastAsia="Times New Roman" w:hAnsi="Times New Roman" w:cs="Times New Roman"/>
          <w:kern w:val="0"/>
          <w14:ligatures w14:val="none"/>
        </w:rPr>
        <w:t xml:space="preserve">  Introduced</w:t>
      </w:r>
      <w:proofErr w:type="gramEnd"/>
      <w:r w:rsidRPr="00960959">
        <w:rPr>
          <w:rFonts w:ascii="Times New Roman" w:eastAsia="Times New Roman" w:hAnsi="Times New Roman" w:cs="Times New Roman"/>
          <w:kern w:val="0"/>
          <w14:ligatures w14:val="none"/>
        </w:rPr>
        <w:t xml:space="preserve"> Bayesian models of earthquake counts over time and space</w:t>
      </w:r>
    </w:p>
    <w:p w14:paraId="4F29977B"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roofErr w:type="gramStart"/>
      <w:r w:rsidRPr="00960959">
        <w:rPr>
          <w:rFonts w:ascii="Times New Roman" w:eastAsia="Times New Roman" w:hAnsi="Symbol" w:cs="Times New Roman"/>
          <w:kern w:val="0"/>
          <w14:ligatures w14:val="none"/>
        </w:rPr>
        <w:t></w:t>
      </w:r>
      <w:r w:rsidRPr="00960959">
        <w:rPr>
          <w:rFonts w:ascii="Times New Roman" w:eastAsia="Times New Roman" w:hAnsi="Times New Roman" w:cs="Times New Roman"/>
          <w:kern w:val="0"/>
          <w14:ligatures w14:val="none"/>
        </w:rPr>
        <w:t xml:space="preserve">  Modeled</w:t>
      </w:r>
      <w:proofErr w:type="gramEnd"/>
      <w:r w:rsidRPr="00960959">
        <w:rPr>
          <w:rFonts w:ascii="Times New Roman" w:eastAsia="Times New Roman" w:hAnsi="Times New Roman" w:cs="Times New Roman"/>
          <w:kern w:val="0"/>
          <w14:ligatures w14:val="none"/>
        </w:rPr>
        <w:t xml:space="preserve"> </w:t>
      </w:r>
      <w:proofErr w:type="spellStart"/>
      <w:r w:rsidRPr="00960959">
        <w:rPr>
          <w:rFonts w:ascii="Times New Roman" w:eastAsia="Times New Roman" w:hAnsi="Times New Roman" w:cs="Times New Roman"/>
          <w:kern w:val="0"/>
          <w14:ligatures w14:val="none"/>
        </w:rPr>
        <w:t>overdispersed</w:t>
      </w:r>
      <w:proofErr w:type="spellEnd"/>
      <w:r w:rsidRPr="00960959">
        <w:rPr>
          <w:rFonts w:ascii="Times New Roman" w:eastAsia="Times New Roman" w:hAnsi="Times New Roman" w:cs="Times New Roman"/>
          <w:kern w:val="0"/>
          <w14:ligatures w14:val="none"/>
        </w:rPr>
        <w:t xml:space="preserve"> earthquake counts, incorporating spatial clustering and time-varying features</w:t>
      </w:r>
    </w:p>
    <w:p w14:paraId="371919EC"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
    <w:p w14:paraId="14D516C2"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
    <w:p w14:paraId="455E7FD6"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
    <w:p w14:paraId="6E60D2F6"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
    <w:p w14:paraId="13144A9C"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
    <w:p w14:paraId="7E8A97E7" w14:textId="4E7ECEFA" w:rsidR="00960959" w:rsidRPr="00960959" w:rsidRDefault="00960959" w:rsidP="00960959">
      <w:pPr>
        <w:spacing w:before="100" w:beforeAutospacing="1" w:after="100" w:afterAutospacing="1"/>
        <w:rPr>
          <w:rFonts w:ascii="Times New Roman" w:eastAsia="Times New Roman" w:hAnsi="Times New Roman" w:cs="Times New Roman"/>
          <w:kern w:val="0"/>
          <w:sz w:val="40"/>
          <w:szCs w:val="40"/>
          <w14:ligatures w14:val="none"/>
        </w:rPr>
      </w:pPr>
      <w:r w:rsidRPr="00960959">
        <w:rPr>
          <w:rFonts w:ascii="Times New Roman" w:eastAsia="Times New Roman" w:hAnsi="Times New Roman" w:cs="Times New Roman"/>
          <w:kern w:val="0"/>
          <w:sz w:val="40"/>
          <w:szCs w:val="40"/>
          <w14:ligatures w14:val="none"/>
        </w:rPr>
        <w:t>How is our Bayesian model different:</w:t>
      </w:r>
    </w:p>
    <w:p w14:paraId="60405DE7" w14:textId="752F9FB2" w:rsidR="00960959" w:rsidRPr="00960959" w:rsidRDefault="00960959" w:rsidP="0096095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60959">
        <w:rPr>
          <w:rFonts w:ascii="Times New Roman" w:eastAsia="Times New Roman" w:hAnsi="Times New Roman" w:cs="Times New Roman"/>
          <w:b/>
          <w:bCs/>
          <w:kern w:val="0"/>
          <w:sz w:val="27"/>
          <w:szCs w:val="27"/>
          <w14:ligatures w14:val="none"/>
        </w:rPr>
        <w:t>1. Inclusion of Time-Lagged Magnitude (</w:t>
      </w:r>
      <w:proofErr w:type="spellStart"/>
      <w:r w:rsidRPr="00960959">
        <w:rPr>
          <w:rFonts w:ascii="Times New Roman" w:eastAsia="Times New Roman" w:hAnsi="Times New Roman" w:cs="Times New Roman"/>
          <w:b/>
          <w:bCs/>
          <w:kern w:val="0"/>
          <w:sz w:val="27"/>
          <w:szCs w:val="27"/>
          <w14:ligatures w14:val="none"/>
        </w:rPr>
        <w:t>LagMag</w:t>
      </w:r>
      <w:proofErr w:type="spellEnd"/>
      <w:r w:rsidRPr="00960959">
        <w:rPr>
          <w:rFonts w:ascii="Times New Roman" w:eastAsia="Times New Roman" w:hAnsi="Times New Roman" w:cs="Times New Roman"/>
          <w:b/>
          <w:bCs/>
          <w:kern w:val="0"/>
          <w:sz w:val="27"/>
          <w:szCs w:val="27"/>
          <w14:ligatures w14:val="none"/>
        </w:rPr>
        <w:t>)</w:t>
      </w:r>
    </w:p>
    <w:p w14:paraId="205F5BE2" w14:textId="77777777" w:rsidR="00960959" w:rsidRPr="00960959" w:rsidRDefault="00960959" w:rsidP="00960959">
      <w:pPr>
        <w:numPr>
          <w:ilvl w:val="0"/>
          <w:numId w:val="6"/>
        </w:numPr>
        <w:spacing w:before="100" w:beforeAutospacing="1" w:after="100" w:afterAutospacing="1"/>
        <w:rPr>
          <w:rFonts w:ascii="Times New Roman" w:eastAsia="Times New Roman" w:hAnsi="Times New Roman" w:cs="Times New Roman"/>
          <w:kern w:val="0"/>
          <w14:ligatures w14:val="none"/>
        </w:rPr>
      </w:pPr>
      <w:r w:rsidRPr="00960959">
        <w:rPr>
          <w:rFonts w:ascii="Times New Roman" w:eastAsia="Times New Roman" w:hAnsi="Times New Roman" w:cs="Times New Roman"/>
          <w:b/>
          <w:bCs/>
          <w:kern w:val="0"/>
          <w14:ligatures w14:val="none"/>
        </w:rPr>
        <w:t xml:space="preserve">Your model includes </w:t>
      </w:r>
      <w:proofErr w:type="spellStart"/>
      <w:r w:rsidRPr="00960959">
        <w:rPr>
          <w:rFonts w:ascii="Courier New" w:eastAsia="Times New Roman" w:hAnsi="Courier New" w:cs="Courier New"/>
          <w:b/>
          <w:bCs/>
          <w:kern w:val="0"/>
          <w:sz w:val="20"/>
          <w:szCs w:val="20"/>
          <w14:ligatures w14:val="none"/>
        </w:rPr>
        <w:t>LagMag</w:t>
      </w:r>
      <w:proofErr w:type="spellEnd"/>
      <w:r w:rsidRPr="00960959">
        <w:rPr>
          <w:rFonts w:ascii="Times New Roman" w:eastAsia="Times New Roman" w:hAnsi="Times New Roman" w:cs="Times New Roman"/>
          <w:kern w:val="0"/>
          <w14:ligatures w14:val="none"/>
        </w:rPr>
        <w:t xml:space="preserve">, i.e., average magnitude in the </w:t>
      </w:r>
      <w:r w:rsidRPr="00960959">
        <w:rPr>
          <w:rFonts w:ascii="Times New Roman" w:eastAsia="Times New Roman" w:hAnsi="Times New Roman" w:cs="Times New Roman"/>
          <w:i/>
          <w:iCs/>
          <w:kern w:val="0"/>
          <w14:ligatures w14:val="none"/>
        </w:rPr>
        <w:t>previous month</w:t>
      </w:r>
      <w:r w:rsidRPr="00960959">
        <w:rPr>
          <w:rFonts w:ascii="Times New Roman" w:eastAsia="Times New Roman" w:hAnsi="Times New Roman" w:cs="Times New Roman"/>
          <w:kern w:val="0"/>
          <w14:ligatures w14:val="none"/>
        </w:rPr>
        <w:t>, as a covariate.</w:t>
      </w:r>
    </w:p>
    <w:p w14:paraId="0554B556" w14:textId="77777777" w:rsidR="00960959" w:rsidRDefault="00960959" w:rsidP="00960959">
      <w:pPr>
        <w:numPr>
          <w:ilvl w:val="0"/>
          <w:numId w:val="6"/>
        </w:numPr>
        <w:spacing w:before="100" w:beforeAutospacing="1" w:after="100" w:afterAutospacing="1"/>
        <w:rPr>
          <w:rFonts w:ascii="Times New Roman" w:eastAsia="Times New Roman" w:hAnsi="Times New Roman" w:cs="Times New Roman"/>
          <w:kern w:val="0"/>
          <w14:ligatures w14:val="none"/>
        </w:rPr>
      </w:pPr>
      <w:r w:rsidRPr="00960959">
        <w:rPr>
          <w:rFonts w:ascii="Times New Roman" w:eastAsia="Times New Roman" w:hAnsi="Times New Roman" w:cs="Times New Roman"/>
          <w:b/>
          <w:bCs/>
          <w:kern w:val="0"/>
          <w14:ligatures w14:val="none"/>
        </w:rPr>
        <w:t>Most literature</w:t>
      </w:r>
      <w:r w:rsidRPr="00960959">
        <w:rPr>
          <w:rFonts w:ascii="Times New Roman" w:eastAsia="Times New Roman" w:hAnsi="Times New Roman" w:cs="Times New Roman"/>
          <w:kern w:val="0"/>
          <w14:ligatures w14:val="none"/>
        </w:rPr>
        <w:t xml:space="preserve"> (e.g., Clements et al., 2011) uses only current-time covariates (like Depth, Lat, RMS).</w:t>
      </w:r>
    </w:p>
    <w:p w14:paraId="49DE80EC" w14:textId="7804B433" w:rsidR="00960959" w:rsidRPr="00960959" w:rsidRDefault="00960959" w:rsidP="0096095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60959">
        <w:rPr>
          <w:rFonts w:ascii="Times New Roman" w:eastAsia="Times New Roman" w:hAnsi="Times New Roman" w:cs="Times New Roman"/>
          <w:b/>
          <w:bCs/>
          <w:kern w:val="0"/>
          <w:sz w:val="27"/>
          <w:szCs w:val="27"/>
          <w14:ligatures w14:val="none"/>
        </w:rPr>
        <w:t>2.  Modeling Overdispersion via Covariates</w:t>
      </w:r>
    </w:p>
    <w:p w14:paraId="700B1DB6" w14:textId="31EDEABB" w:rsidR="00960959" w:rsidRDefault="00960959">
      <w:r>
        <w:rPr>
          <w:noProof/>
        </w:rPr>
        <w:drawing>
          <wp:inline distT="0" distB="0" distL="0" distR="0" wp14:anchorId="0F52D975" wp14:editId="204B6750">
            <wp:extent cx="5943600" cy="1176655"/>
            <wp:effectExtent l="0" t="0" r="0" b="4445"/>
            <wp:docPr id="35598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86199" name="Picture 35598619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76655"/>
                    </a:xfrm>
                    <a:prstGeom prst="rect">
                      <a:avLst/>
                    </a:prstGeom>
                  </pic:spPr>
                </pic:pic>
              </a:graphicData>
            </a:graphic>
          </wp:inline>
        </w:drawing>
      </w:r>
    </w:p>
    <w:p w14:paraId="005C994B" w14:textId="77777777" w:rsidR="00960959" w:rsidRDefault="00960959"/>
    <w:p w14:paraId="49EAE0FF" w14:textId="354546E7" w:rsidR="00960959" w:rsidRDefault="00960959" w:rsidP="00960959">
      <w:pPr>
        <w:pStyle w:val="ListParagraph"/>
        <w:numPr>
          <w:ilvl w:val="1"/>
          <w:numId w:val="2"/>
        </w:numPr>
        <w:rPr>
          <w:rStyle w:val="Strong"/>
        </w:rPr>
      </w:pPr>
      <w:r>
        <w:rPr>
          <w:rStyle w:val="Strong"/>
        </w:rPr>
        <w:t>Region Defined by Spatial Grid (Lat/Lon Binning)</w:t>
      </w:r>
    </w:p>
    <w:p w14:paraId="546988DD" w14:textId="41B6D7A5" w:rsidR="00960959" w:rsidRDefault="00960959" w:rsidP="00960959">
      <w:pPr>
        <w:rPr>
          <w:rFonts w:ascii="Apple Color Emoji" w:hAnsi="Apple Color Emoji" w:cs="Apple Color Emoji"/>
        </w:rPr>
      </w:pPr>
      <w:r>
        <w:rPr>
          <w:rFonts w:ascii="Apple Color Emoji" w:hAnsi="Apple Color Emoji" w:cs="Apple Color Emoji"/>
          <w:noProof/>
        </w:rPr>
        <w:drawing>
          <wp:inline distT="0" distB="0" distL="0" distR="0" wp14:anchorId="1E7BAF28" wp14:editId="555B07E9">
            <wp:extent cx="5943600" cy="2282190"/>
            <wp:effectExtent l="0" t="0" r="0" b="3810"/>
            <wp:docPr id="1332686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86036" name="Picture 133268603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82190"/>
                    </a:xfrm>
                    <a:prstGeom prst="rect">
                      <a:avLst/>
                    </a:prstGeom>
                  </pic:spPr>
                </pic:pic>
              </a:graphicData>
            </a:graphic>
          </wp:inline>
        </w:drawing>
      </w:r>
    </w:p>
    <w:p w14:paraId="5CF784CB" w14:textId="77777777" w:rsidR="00960959" w:rsidRDefault="00960959" w:rsidP="00960959">
      <w:pPr>
        <w:rPr>
          <w:rFonts w:ascii="Apple Color Emoji" w:hAnsi="Apple Color Emoji" w:cs="Apple Color Emoji"/>
        </w:rPr>
      </w:pPr>
    </w:p>
    <w:p w14:paraId="2CC3AE01" w14:textId="5CC0F3E4" w:rsidR="00960959" w:rsidRDefault="00960959" w:rsidP="00960959">
      <w:pPr>
        <w:pStyle w:val="Heading2"/>
      </w:pPr>
      <w:r>
        <w:t>Suggested Wording for Your Report</w:t>
      </w:r>
    </w:p>
    <w:p w14:paraId="69F73321" w14:textId="77777777" w:rsidR="00960959" w:rsidRDefault="00960959" w:rsidP="00960959">
      <w:pPr>
        <w:spacing w:before="100" w:beforeAutospacing="1" w:after="100" w:afterAutospacing="1"/>
      </w:pPr>
      <w:r>
        <w:t>While our model structure is inspired by the hierarchical negative binomial framework used in Clements et al. (2011) and Ogata (1998), we extended the modeling approach in several ways:</w:t>
      </w:r>
    </w:p>
    <w:p w14:paraId="4B715FDD" w14:textId="77777777" w:rsidR="00960959" w:rsidRDefault="00960959" w:rsidP="00960959">
      <w:pPr>
        <w:numPr>
          <w:ilvl w:val="0"/>
          <w:numId w:val="8"/>
        </w:numPr>
        <w:spacing w:before="100" w:beforeAutospacing="1" w:after="100" w:afterAutospacing="1"/>
      </w:pPr>
      <w:r>
        <w:lastRenderedPageBreak/>
        <w:t>First, we incorporated temporal dependence by including lagged average magnitude as a covariate.</w:t>
      </w:r>
    </w:p>
    <w:p w14:paraId="57778A2F" w14:textId="77777777" w:rsidR="00960959" w:rsidRDefault="00960959" w:rsidP="00960959">
      <w:pPr>
        <w:numPr>
          <w:ilvl w:val="0"/>
          <w:numId w:val="8"/>
        </w:numPr>
        <w:spacing w:before="100" w:beforeAutospacing="1" w:after="100" w:afterAutospacing="1"/>
      </w:pPr>
      <w:r>
        <w:t>Second, we modeled dispersion as a function of sensor reliability indicators (</w:t>
      </w:r>
      <w:proofErr w:type="spellStart"/>
      <w:r>
        <w:t>Nst</w:t>
      </w:r>
      <w:proofErr w:type="spellEnd"/>
      <w:r>
        <w:t xml:space="preserve">, RMS, </w:t>
      </w:r>
      <w:proofErr w:type="spellStart"/>
      <w:r>
        <w:t>Clo</w:t>
      </w:r>
      <w:proofErr w:type="spellEnd"/>
      <w:r>
        <w:t>), rather than treating it as a global or region-specific scalar.</w:t>
      </w:r>
    </w:p>
    <w:p w14:paraId="1FFD124E" w14:textId="77777777" w:rsidR="00960959" w:rsidRDefault="00960959" w:rsidP="00960959">
      <w:pPr>
        <w:numPr>
          <w:ilvl w:val="0"/>
          <w:numId w:val="8"/>
        </w:numPr>
        <w:spacing w:before="100" w:beforeAutospacing="1" w:after="100" w:afterAutospacing="1"/>
      </w:pPr>
      <w:r>
        <w:t>Third, we constructed spatial regions dynamically using binned latitude and longitude, enabling a generalizable pipeline.</w:t>
      </w:r>
    </w:p>
    <w:p w14:paraId="4AB3FD06" w14:textId="77777777" w:rsidR="00960959" w:rsidRDefault="00960959" w:rsidP="00960959">
      <w:pPr>
        <w:numPr>
          <w:ilvl w:val="0"/>
          <w:numId w:val="8"/>
        </w:numPr>
        <w:spacing w:before="100" w:beforeAutospacing="1" w:after="100" w:afterAutospacing="1"/>
      </w:pPr>
      <w:r>
        <w:t>Lastly, our Bayesian workflow adheres closely to modern best practices (Gelman et al., 2013; STAT 447), including prior and posterior predictive checks and safe posterior simulations.</w:t>
      </w:r>
    </w:p>
    <w:p w14:paraId="1E2E924B" w14:textId="77777777" w:rsidR="00960959" w:rsidRPr="00960959" w:rsidRDefault="00960959" w:rsidP="00960959">
      <w:pPr>
        <w:rPr>
          <w:rFonts w:ascii="Apple Color Emoji" w:hAnsi="Apple Color Emoji" w:cs="Apple Color Emoji"/>
        </w:rPr>
      </w:pPr>
    </w:p>
    <w:sectPr w:rsidR="00960959" w:rsidRPr="00960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6BE"/>
    <w:multiLevelType w:val="hybridMultilevel"/>
    <w:tmpl w:val="0D9C6A78"/>
    <w:lvl w:ilvl="0" w:tplc="AD727E3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E02A9"/>
    <w:multiLevelType w:val="multilevel"/>
    <w:tmpl w:val="7C7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D5833"/>
    <w:multiLevelType w:val="hybridMultilevel"/>
    <w:tmpl w:val="6248D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81643"/>
    <w:multiLevelType w:val="multilevel"/>
    <w:tmpl w:val="29004EC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7301C"/>
    <w:multiLevelType w:val="multilevel"/>
    <w:tmpl w:val="E28A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E6F3F"/>
    <w:multiLevelType w:val="multilevel"/>
    <w:tmpl w:val="2E88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C76D7"/>
    <w:multiLevelType w:val="multilevel"/>
    <w:tmpl w:val="CA4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25719"/>
    <w:multiLevelType w:val="hybridMultilevel"/>
    <w:tmpl w:val="3B1E4A9A"/>
    <w:lvl w:ilvl="0" w:tplc="CF34AF5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045018">
    <w:abstractNumId w:val="1"/>
  </w:num>
  <w:num w:numId="2" w16cid:durableId="1871531867">
    <w:abstractNumId w:val="3"/>
  </w:num>
  <w:num w:numId="3" w16cid:durableId="1689603081">
    <w:abstractNumId w:val="2"/>
  </w:num>
  <w:num w:numId="4" w16cid:durableId="938951506">
    <w:abstractNumId w:val="0"/>
  </w:num>
  <w:num w:numId="5" w16cid:durableId="915020793">
    <w:abstractNumId w:val="7"/>
  </w:num>
  <w:num w:numId="6" w16cid:durableId="225653764">
    <w:abstractNumId w:val="5"/>
  </w:num>
  <w:num w:numId="7" w16cid:durableId="1041398466">
    <w:abstractNumId w:val="4"/>
  </w:num>
  <w:num w:numId="8" w16cid:durableId="1639415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CB"/>
    <w:rsid w:val="000D4EEF"/>
    <w:rsid w:val="000D7200"/>
    <w:rsid w:val="000E54DF"/>
    <w:rsid w:val="001D029A"/>
    <w:rsid w:val="002A323F"/>
    <w:rsid w:val="003705C3"/>
    <w:rsid w:val="00460ECB"/>
    <w:rsid w:val="0058211D"/>
    <w:rsid w:val="00655619"/>
    <w:rsid w:val="007620DC"/>
    <w:rsid w:val="008073D8"/>
    <w:rsid w:val="008405F4"/>
    <w:rsid w:val="00960959"/>
    <w:rsid w:val="009C374A"/>
    <w:rsid w:val="009E3645"/>
    <w:rsid w:val="00B04B67"/>
    <w:rsid w:val="00B125DA"/>
    <w:rsid w:val="00EE7F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C662F"/>
  <w15:chartTrackingRefBased/>
  <w15:docId w15:val="{01F17BA2-0B58-504C-86D6-E3CBEE13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09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095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ECB"/>
    <w:rPr>
      <w:color w:val="0563C1" w:themeColor="hyperlink"/>
      <w:u w:val="single"/>
    </w:rPr>
  </w:style>
  <w:style w:type="character" w:styleId="UnresolvedMention">
    <w:name w:val="Unresolved Mention"/>
    <w:basedOn w:val="DefaultParagraphFont"/>
    <w:uiPriority w:val="99"/>
    <w:semiHidden/>
    <w:unhideWhenUsed/>
    <w:rsid w:val="00460ECB"/>
    <w:rPr>
      <w:color w:val="605E5C"/>
      <w:shd w:val="clear" w:color="auto" w:fill="E1DFDD"/>
    </w:rPr>
  </w:style>
  <w:style w:type="paragraph" w:styleId="ListParagraph">
    <w:name w:val="List Paragraph"/>
    <w:basedOn w:val="Normal"/>
    <w:uiPriority w:val="34"/>
    <w:qFormat/>
    <w:rsid w:val="009E3645"/>
    <w:pPr>
      <w:ind w:left="720"/>
      <w:contextualSpacing/>
    </w:pPr>
  </w:style>
  <w:style w:type="character" w:styleId="PlaceholderText">
    <w:name w:val="Placeholder Text"/>
    <w:basedOn w:val="DefaultParagraphFont"/>
    <w:uiPriority w:val="99"/>
    <w:semiHidden/>
    <w:rsid w:val="009E3645"/>
    <w:rPr>
      <w:color w:val="666666"/>
    </w:rPr>
  </w:style>
  <w:style w:type="character" w:styleId="FollowedHyperlink">
    <w:name w:val="FollowedHyperlink"/>
    <w:basedOn w:val="DefaultParagraphFont"/>
    <w:uiPriority w:val="99"/>
    <w:semiHidden/>
    <w:unhideWhenUsed/>
    <w:rsid w:val="00960959"/>
    <w:rPr>
      <w:color w:val="954F72" w:themeColor="followedHyperlink"/>
      <w:u w:val="single"/>
    </w:rPr>
  </w:style>
  <w:style w:type="character" w:styleId="Strong">
    <w:name w:val="Strong"/>
    <w:basedOn w:val="DefaultParagraphFont"/>
    <w:uiPriority w:val="22"/>
    <w:qFormat/>
    <w:rsid w:val="00960959"/>
    <w:rPr>
      <w:b/>
      <w:bCs/>
    </w:rPr>
  </w:style>
  <w:style w:type="character" w:customStyle="1" w:styleId="katex-mathml">
    <w:name w:val="katex-mathml"/>
    <w:basedOn w:val="DefaultParagraphFont"/>
    <w:rsid w:val="00960959"/>
  </w:style>
  <w:style w:type="character" w:customStyle="1" w:styleId="mord">
    <w:name w:val="mord"/>
    <w:basedOn w:val="DefaultParagraphFont"/>
    <w:rsid w:val="00960959"/>
  </w:style>
  <w:style w:type="character" w:customStyle="1" w:styleId="vlist-s">
    <w:name w:val="vlist-s"/>
    <w:basedOn w:val="DefaultParagraphFont"/>
    <w:rsid w:val="00960959"/>
  </w:style>
  <w:style w:type="character" w:customStyle="1" w:styleId="Heading3Char">
    <w:name w:val="Heading 3 Char"/>
    <w:basedOn w:val="DefaultParagraphFont"/>
    <w:link w:val="Heading3"/>
    <w:uiPriority w:val="9"/>
    <w:rsid w:val="00960959"/>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960959"/>
    <w:rPr>
      <w:rFonts w:ascii="Courier New" w:eastAsia="Times New Roman" w:hAnsi="Courier New" w:cs="Courier New"/>
      <w:sz w:val="20"/>
      <w:szCs w:val="20"/>
    </w:rPr>
  </w:style>
  <w:style w:type="character" w:styleId="Emphasis">
    <w:name w:val="Emphasis"/>
    <w:basedOn w:val="DefaultParagraphFont"/>
    <w:uiPriority w:val="20"/>
    <w:qFormat/>
    <w:rsid w:val="00960959"/>
    <w:rPr>
      <w:i/>
      <w:iCs/>
    </w:rPr>
  </w:style>
  <w:style w:type="character" w:customStyle="1" w:styleId="mpunct">
    <w:name w:val="mpunct"/>
    <w:basedOn w:val="DefaultParagraphFont"/>
    <w:rsid w:val="00960959"/>
  </w:style>
  <w:style w:type="character" w:customStyle="1" w:styleId="mop">
    <w:name w:val="mop"/>
    <w:basedOn w:val="DefaultParagraphFont"/>
    <w:rsid w:val="00960959"/>
  </w:style>
  <w:style w:type="character" w:customStyle="1" w:styleId="mopen">
    <w:name w:val="mopen"/>
    <w:basedOn w:val="DefaultParagraphFont"/>
    <w:rsid w:val="00960959"/>
  </w:style>
  <w:style w:type="character" w:customStyle="1" w:styleId="mclose">
    <w:name w:val="mclose"/>
    <w:basedOn w:val="DefaultParagraphFont"/>
    <w:rsid w:val="00960959"/>
  </w:style>
  <w:style w:type="character" w:customStyle="1" w:styleId="mrel">
    <w:name w:val="mrel"/>
    <w:basedOn w:val="DefaultParagraphFont"/>
    <w:rsid w:val="00960959"/>
  </w:style>
  <w:style w:type="character" w:customStyle="1" w:styleId="mbin">
    <w:name w:val="mbin"/>
    <w:basedOn w:val="DefaultParagraphFont"/>
    <w:rsid w:val="00960959"/>
  </w:style>
  <w:style w:type="character" w:customStyle="1" w:styleId="Heading2Char">
    <w:name w:val="Heading 2 Char"/>
    <w:basedOn w:val="DefaultParagraphFont"/>
    <w:link w:val="Heading2"/>
    <w:uiPriority w:val="9"/>
    <w:semiHidden/>
    <w:rsid w:val="009609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30980">
      <w:bodyDiv w:val="1"/>
      <w:marLeft w:val="0"/>
      <w:marRight w:val="0"/>
      <w:marTop w:val="0"/>
      <w:marBottom w:val="0"/>
      <w:divBdr>
        <w:top w:val="none" w:sz="0" w:space="0" w:color="auto"/>
        <w:left w:val="none" w:sz="0" w:space="0" w:color="auto"/>
        <w:bottom w:val="none" w:sz="0" w:space="0" w:color="auto"/>
        <w:right w:val="none" w:sz="0" w:space="0" w:color="auto"/>
      </w:divBdr>
    </w:div>
    <w:div w:id="468744922">
      <w:bodyDiv w:val="1"/>
      <w:marLeft w:val="0"/>
      <w:marRight w:val="0"/>
      <w:marTop w:val="0"/>
      <w:marBottom w:val="0"/>
      <w:divBdr>
        <w:top w:val="none" w:sz="0" w:space="0" w:color="auto"/>
        <w:left w:val="none" w:sz="0" w:space="0" w:color="auto"/>
        <w:bottom w:val="none" w:sz="0" w:space="0" w:color="auto"/>
        <w:right w:val="none" w:sz="0" w:space="0" w:color="auto"/>
      </w:divBdr>
    </w:div>
    <w:div w:id="1032655182">
      <w:bodyDiv w:val="1"/>
      <w:marLeft w:val="0"/>
      <w:marRight w:val="0"/>
      <w:marTop w:val="0"/>
      <w:marBottom w:val="0"/>
      <w:divBdr>
        <w:top w:val="none" w:sz="0" w:space="0" w:color="auto"/>
        <w:left w:val="none" w:sz="0" w:space="0" w:color="auto"/>
        <w:bottom w:val="none" w:sz="0" w:space="0" w:color="auto"/>
        <w:right w:val="none" w:sz="0" w:space="0" w:color="auto"/>
      </w:divBdr>
    </w:div>
    <w:div w:id="1033385731">
      <w:bodyDiv w:val="1"/>
      <w:marLeft w:val="0"/>
      <w:marRight w:val="0"/>
      <w:marTop w:val="0"/>
      <w:marBottom w:val="0"/>
      <w:divBdr>
        <w:top w:val="none" w:sz="0" w:space="0" w:color="auto"/>
        <w:left w:val="none" w:sz="0" w:space="0" w:color="auto"/>
        <w:bottom w:val="none" w:sz="0" w:space="0" w:color="auto"/>
        <w:right w:val="none" w:sz="0" w:space="0" w:color="auto"/>
      </w:divBdr>
    </w:div>
    <w:div w:id="1212616900">
      <w:bodyDiv w:val="1"/>
      <w:marLeft w:val="0"/>
      <w:marRight w:val="0"/>
      <w:marTop w:val="0"/>
      <w:marBottom w:val="0"/>
      <w:divBdr>
        <w:top w:val="none" w:sz="0" w:space="0" w:color="auto"/>
        <w:left w:val="none" w:sz="0" w:space="0" w:color="auto"/>
        <w:bottom w:val="none" w:sz="0" w:space="0" w:color="auto"/>
        <w:right w:val="none" w:sz="0" w:space="0" w:color="auto"/>
      </w:divBdr>
    </w:div>
    <w:div w:id="1627809253">
      <w:bodyDiv w:val="1"/>
      <w:marLeft w:val="0"/>
      <w:marRight w:val="0"/>
      <w:marTop w:val="0"/>
      <w:marBottom w:val="0"/>
      <w:divBdr>
        <w:top w:val="none" w:sz="0" w:space="0" w:color="auto"/>
        <w:left w:val="none" w:sz="0" w:space="0" w:color="auto"/>
        <w:bottom w:val="none" w:sz="0" w:space="0" w:color="auto"/>
        <w:right w:val="none" w:sz="0" w:space="0" w:color="auto"/>
      </w:divBdr>
    </w:div>
    <w:div w:id="1899321374">
      <w:bodyDiv w:val="1"/>
      <w:marLeft w:val="0"/>
      <w:marRight w:val="0"/>
      <w:marTop w:val="0"/>
      <w:marBottom w:val="0"/>
      <w:divBdr>
        <w:top w:val="none" w:sz="0" w:space="0" w:color="auto"/>
        <w:left w:val="none" w:sz="0" w:space="0" w:color="auto"/>
        <w:bottom w:val="none" w:sz="0" w:space="0" w:color="auto"/>
        <w:right w:val="none" w:sz="0" w:space="0" w:color="auto"/>
      </w:divBdr>
      <w:divsChild>
        <w:div w:id="148080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oc.sub.gwdg.de/ebook/serien/e/uio_statistical_rr/07-04.pdf"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x.doi.org/10.1785/0120080294" TargetMode="External"/><Relationship Id="rId12" Type="http://schemas.openxmlformats.org/officeDocument/2006/relationships/hyperlink" Target="https://link.springer.com/article/10.1007/s11009-006-900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x.doi.org/10.1029/2007JB005479" TargetMode="External"/><Relationship Id="rId11" Type="http://schemas.openxmlformats.org/officeDocument/2006/relationships/hyperlink" Target="https://www.taylorfrancis.com/books/mono/10.1201/b16018/bayesian-data-analysis-david-dunson-donald-rubin-john-carlin-andrew-gelman-hal-stern-aki-vehtari" TargetMode="External"/><Relationship Id="rId5" Type="http://schemas.openxmlformats.org/officeDocument/2006/relationships/hyperlink" Target="https://www.nature.com/articles/365045a0" TargetMode="External"/><Relationship Id="rId15" Type="http://schemas.openxmlformats.org/officeDocument/2006/relationships/fontTable" Target="fontTable.xml"/><Relationship Id="rId10" Type="http://schemas.openxmlformats.org/officeDocument/2006/relationships/hyperlink" Target="https://doi.org/10.1785/0120200198" TargetMode="External"/><Relationship Id="rId4" Type="http://schemas.openxmlformats.org/officeDocument/2006/relationships/webSettings" Target="webSettings.xml"/><Relationship Id="rId9" Type="http://schemas.openxmlformats.org/officeDocument/2006/relationships/hyperlink" Target="https://doi.org/10.1785/0120200198"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qun gai</dc:creator>
  <cp:keywords/>
  <dc:description/>
  <cp:lastModifiedBy>qun gai</cp:lastModifiedBy>
  <cp:revision>9</cp:revision>
  <dcterms:created xsi:type="dcterms:W3CDTF">2025-04-16T00:49:00Z</dcterms:created>
  <dcterms:modified xsi:type="dcterms:W3CDTF">2025-04-18T02:46:00Z</dcterms:modified>
</cp:coreProperties>
</file>