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28"/>
          <w:szCs w:val="28"/>
        </w:rPr>
        <w:t xml:space="preserve">Instituto Tecnológico de Estudios</w:t>
      </w:r>
    </w:p>
    <w:p>
      <w:pPr>
        <w:spacing w:after="80" w:before="0"/>
        <w:jc w:val="center"/>
      </w:pPr>
      <w:r>
        <w:rPr>
          <w:rFonts w:ascii="Arial" w:cs="Arial" w:eastAsia="Arial" w:hAnsi="Arial"/>
          <w:b/>
          <w:bCs/>
          <w:sz w:val="28"/>
          <w:szCs w:val="28"/>
        </w:rPr>
        <w:t xml:space="preserve">Superiores de Monterrey</w:t>
      </w:r>
    </w:p>
    <w:p>
      <w:pPr>
        <w:spacing w:after="600" w:before="0"/>
        <w:jc w:val="center"/>
      </w:pPr>
      <w:r>
        <w:rPr>
          <w:rFonts w:ascii="Arial" w:cs="Arial" w:eastAsia="Arial" w:hAnsi="Arial"/>
          <w:sz w:val="22"/>
          <w:szCs w:val="22"/>
        </w:rPr>
        <w:t xml:space="preserve">Campus Toluca</w:t>
      </w:r>
    </w:p>
    <w:p>
      <w:pPr>
        <w:spacing w:after="200" w:before="0"/>
        <w:jc w:val="center"/>
      </w:pPr>
      <w:r>
        <w:rPr>
          <w:rFonts w:ascii="Arial" w:cs="Arial" w:eastAsia="Arial" w:hAnsi="Arial"/>
          <w:sz w:val="32"/>
          <w:szCs w:val="32"/>
        </w:rPr>
        <w:t xml:space="preserve">Interconexión de dispositivos</w:t>
      </w:r>
    </w:p>
    <w:p>
      <w:pPr>
        <w:spacing w:after="600" w:before="0"/>
        <w:jc w:val="center"/>
      </w:pPr>
      <w:r>
        <w:rPr>
          <w:rFonts w:ascii="Arial" w:cs="Arial" w:eastAsia="Arial" w:hAnsi="Arial"/>
          <w:sz w:val="32"/>
          <w:szCs w:val="32"/>
        </w:rPr>
        <w:t xml:space="preserve">(Gpo 301)</w:t>
      </w:r>
    </w:p>
    <w:p>
      <w:pPr>
        <w:spacing w:after="600" w:before="0"/>
        <w:jc w:val="center"/>
      </w:pPr>
      <w:r>
        <w:rPr>
          <w:rFonts w:ascii="Arial" w:cs="Arial" w:eastAsia="Arial" w:hAnsi="Arial"/>
          <w:b/>
          <w:bCs/>
          <w:sz w:val="28"/>
          <w:szCs w:val="28"/>
        </w:rPr>
        <w:t xml:space="preserve">Packet Tracer 10.3.5</w:t>
      </w:r>
    </w:p>
    <w:p>
      <w:pPr>
        <w:spacing w:after="120" w:before="0"/>
        <w:jc w:val="center"/>
      </w:pPr>
      <w:r>
        <w:rPr>
          <w:rFonts w:ascii="Arial" w:cs="Arial" w:eastAsia="Arial" w:hAnsi="Arial"/>
          <w:b/>
          <w:bCs/>
          <w:sz w:val="22"/>
          <w:szCs w:val="22"/>
        </w:rPr>
        <w:t xml:space="preserve">Profesores:</w:t>
      </w:r>
    </w:p>
    <w:p>
      <w:pPr>
        <w:spacing w:after="60" w:before="0"/>
        <w:jc w:val="center"/>
      </w:pPr>
      <w:r>
        <w:rPr>
          <w:rFonts w:ascii="Arial" w:cs="Arial" w:eastAsia="Arial" w:hAnsi="Arial"/>
          <w:sz w:val="22"/>
          <w:szCs w:val="22"/>
        </w:rPr>
        <w:t xml:space="preserve">Yerly Flores Garcia</w:t>
      </w:r>
    </w:p>
    <w:p>
      <w:pPr>
        <w:spacing w:after="600" w:before="0"/>
        <w:jc w:val="center"/>
      </w:pPr>
      <w:r>
        <w:rPr>
          <w:rFonts w:ascii="Arial" w:cs="Arial" w:eastAsia="Arial" w:hAnsi="Arial"/>
          <w:sz w:val="22"/>
          <w:szCs w:val="22"/>
        </w:rPr>
        <w:t xml:space="preserve">José María Aguilera Méndez</w:t>
      </w:r>
    </w:p>
    <w:p>
      <w:pPr>
        <w:spacing w:after="60" w:before="0"/>
        <w:jc w:val="center"/>
      </w:pPr>
      <w:r>
        <w:rPr>
          <w:rFonts w:ascii="Arial" w:cs="Arial" w:eastAsia="Arial" w:hAnsi="Arial"/>
          <w:sz w:val="22"/>
          <w:szCs w:val="22"/>
        </w:rPr>
        <w:t xml:space="preserve">Alan Joseph Salazar Segura - A01773491</w:t>
      </w:r>
    </w:p>
    <w:p>
      <w:pPr>
        <w:spacing w:after="60" w:before="0"/>
        <w:jc w:val="center"/>
      </w:pPr>
      <w:r>
        <w:rPr>
          <w:rFonts w:ascii="Arial" w:cs="Arial" w:eastAsia="Arial" w:hAnsi="Arial"/>
          <w:sz w:val="22"/>
          <w:szCs w:val="22"/>
        </w:rPr>
        <w:t xml:space="preserve">Ileana Tapia Castillo - A01773374</w:t>
      </w:r>
    </w:p>
    <w:p>
      <w:pPr>
        <w:spacing w:after="0" w:before="0"/>
        <w:jc w:val="center"/>
      </w:pPr>
      <w:r>
        <w:rPr>
          <w:rFonts w:ascii="Arial" w:cs="Arial" w:eastAsia="Arial" w:hAnsi="Arial"/>
          <w:sz w:val="22"/>
          <w:szCs w:val="22"/>
        </w:rPr>
        <w:t xml:space="preserve">Fátima M. Herrera González - A01770839</w:t>
      </w:r>
    </w:p>
    <w:p>
      <w:r>
        <w:br w:type="page"/>
      </w:r>
    </w:p>
    <w:p>
      <w:pPr>
        <w:spacing w:after="80" w:before="220"/>
      </w:pPr>
      <w:r>
        <w:rPr>
          <w:rFonts w:ascii="Arial" w:cs="Arial" w:eastAsia="Arial" w:hAnsi="Arial"/>
          <w:b/>
          <w:bCs/>
          <w:color w:val="1F3864"/>
          <w:sz w:val="24"/>
          <w:szCs w:val="24"/>
        </w:rPr>
        <w:t xml:space="preserve">Asignación de direcciones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000"/>
        <w:gridCol w:w="2200"/>
      </w:tblGrid>
      <w:tr>
        <w:tc>
          <w:tcPr>
            <w:tcW w:type="dxa" w:w="9360"/>
            <w:gridSpan w:val="5"/>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Asignación de direcciones IP</w:t>
            </w:r>
          </w:p>
        </w:tc>
      </w:tr>
      <w:tr>
        <w:tc>
          <w:tcPr>
            <w:tcW w:type="dxa" w:w="18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Dispositivo</w:t>
            </w:r>
          </w:p>
        </w:tc>
        <w:tc>
          <w:tcPr>
            <w:tcW w:type="dxa" w:w="156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Interfaz</w:t>
            </w:r>
          </w:p>
        </w:tc>
        <w:tc>
          <w:tcPr>
            <w:tcW w:type="dxa" w:w="18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Dirección IP</w:t>
            </w:r>
          </w:p>
        </w:tc>
        <w:tc>
          <w:tcPr>
            <w:tcW w:type="dxa" w:w="20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Máscara de subred</w:t>
            </w:r>
          </w:p>
        </w:tc>
        <w:tc>
          <w:tcPr>
            <w:tcW w:type="dxa" w:w="22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Gateway predeterminado</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R1</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G0/0</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192.168.10.1</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R1</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G0/1</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192.168.11.1</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S1</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VLAN 1</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192.168.10.2</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192.168.10.1</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S2</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VLAN 1</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192.168.11.2</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192.168.11.1</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PC1</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NIC</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192.168.10.10</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192.168.10.1</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PC2</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NIC</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192.168.10.11</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192.168.10.1</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PC3</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NIC</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192.168.11.10</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192.168.11.1</w:t>
            </w:r>
          </w:p>
        </w:tc>
      </w:tr>
      <w:tr>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PC4</w:t>
            </w:r>
          </w:p>
        </w:tc>
        <w:tc>
          <w:tcPr>
            <w:tcW w:type="dxa" w:w="15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NIC</w:t>
            </w:r>
          </w:p>
        </w:tc>
        <w:tc>
          <w:tcPr>
            <w:tcW w:type="dxa" w:w="18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192.168.11.11</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255.255.255.0</w:t>
            </w:r>
          </w:p>
        </w:tc>
        <w:tc>
          <w:tcPr>
            <w:tcW w:type="dxa" w:w="22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192.168.11.1</w:t>
            </w:r>
          </w:p>
        </w:tc>
      </w:tr>
    </w:tbl>
    <w:p>
      <w:r>
        <w:rPr>
          <w:sz w:val="20"/>
          <w:szCs w:val="20"/>
        </w:rPr>
        <w:t xml:space="preserve"/>
      </w:r>
    </w:p>
    <w:p>
      <w:r>
        <w:rPr>
          <w:sz w:val="20"/>
          <w:szCs w:val="20"/>
        </w:rPr>
        <w:t xml:space="preserve"/>
      </w:r>
    </w:p>
    <w:p>
      <w:pPr>
        <w:spacing w:after="80" w:before="220"/>
      </w:pPr>
      <w:r>
        <w:rPr>
          <w:rFonts w:ascii="Arial" w:cs="Arial" w:eastAsia="Arial" w:hAnsi="Arial"/>
          <w:b/>
          <w:bCs/>
          <w:color w:val="1F3864"/>
          <w:sz w:val="24"/>
          <w:szCs w:val="24"/>
        </w:rPr>
        <w:t xml:space="preserve">Pruebas y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000"/>
        <w:gridCol w:w="2660"/>
        <w:gridCol w:w="1400"/>
      </w:tblGrid>
      <w:tr>
        <w:tc>
          <w:tcPr>
            <w:tcW w:type="dxa" w:w="9360"/>
            <w:gridSpan w:val="5"/>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Pruebas y diagnóstico</w:t>
            </w:r>
          </w:p>
        </w:tc>
      </w:tr>
      <w:tr>
        <w:tc>
          <w:tcPr>
            <w:tcW w:type="dxa" w:w="14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Prueba</w:t>
            </w:r>
          </w:p>
        </w:tc>
        <w:tc>
          <w:tcPr>
            <w:tcW w:type="dxa" w:w="9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¿Exitosa?</w:t>
            </w:r>
          </w:p>
        </w:tc>
        <w:tc>
          <w:tcPr>
            <w:tcW w:type="dxa" w:w="20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Problema detectado</w:t>
            </w:r>
          </w:p>
        </w:tc>
        <w:tc>
          <w:tcPr>
            <w:tcW w:type="dxa" w:w="266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Solución implementada</w:t>
            </w:r>
          </w:p>
        </w:tc>
        <w:tc>
          <w:tcPr>
            <w:tcW w:type="dxa" w:w="1400"/>
            <w:tcBorders>
              <w:top w:val="single" w:color="1F3864" w:sz="4"/>
              <w:left w:val="single" w:color="1F3864" w:sz="4"/>
              <w:bottom w:val="single" w:color="1F3864" w:sz="4"/>
              <w:right w:val="single" w:color="1F3864" w:sz="4"/>
            </w:tcBorders>
            <w:shd w:fill="D6E4F0" w:val="clear"/>
            <w:tcMar>
              <w:top w:type="dxa" w:w="60"/>
              <w:left w:type="dxa" w:w="120"/>
              <w:bottom w:type="dxa" w:w="60"/>
              <w:right w:type="dxa" w:w="120"/>
            </w:tcMar>
          </w:tcPr>
          <w:p>
            <w:r>
              <w:rPr>
                <w:rFonts w:ascii="Arial" w:cs="Arial" w:eastAsia="Arial" w:hAnsi="Arial"/>
                <w:b/>
                <w:bCs/>
                <w:sz w:val="18"/>
                <w:szCs w:val="18"/>
              </w:rPr>
              <w:t xml:space="preserve">Verificado</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PC1 a PC2</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IP incorrecta en PC1</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Actualizar a IP 192.168.10.10</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PC1 a S1</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Ninguno</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N/A</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PC1 a R1</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Ninguno</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N/A</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PC1 a PC3</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Ninguno</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N/A</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PC1 a PC4</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Gateway erróneo en PC4</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Cambiar a 192.168.11.1</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S1 a R1</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Falta configurar gateway</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Añadir ip default-gateway 192.168.10.1</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r>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S2 a R1</w:t>
            </w:r>
          </w:p>
        </w:tc>
        <w:tc>
          <w:tcPr>
            <w:tcW w:type="dxa" w:w="9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w:t>
            </w:r>
          </w:p>
        </w:tc>
        <w:tc>
          <w:tcPr>
            <w:tcW w:type="dxa" w:w="20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IP y gateway faltantes en S2</w:t>
            </w:r>
          </w:p>
        </w:tc>
        <w:tc>
          <w:tcPr>
            <w:tcW w:type="dxa" w:w="266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Asignar IP 192.168.11.2 y gateway 192.168.11.1</w:t>
            </w:r>
          </w:p>
        </w:tc>
        <w:tc>
          <w:tcPr>
            <w:tcW w:type="dxa" w:w="1400"/>
            <w:tcBorders>
              <w:top w:val="single" w:color="1F3864" w:sz="4"/>
              <w:left w:val="single" w:color="1F3864" w:sz="4"/>
              <w:bottom w:val="single" w:color="1F3864" w:sz="4"/>
              <w:right w:val="single" w:color="1F3864" w:sz="4"/>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Sí</w:t>
            </w:r>
          </w:p>
        </w:tc>
      </w:tr>
    </w:tbl>
    <w:p>
      <w:r>
        <w:rPr>
          <w:sz w:val="20"/>
          <w:szCs w:val="20"/>
        </w:rPr>
        <w:t xml:space="preserve"/>
      </w:r>
    </w:p>
    <w:p>
      <w:r>
        <w:rPr>
          <w:sz w:val="20"/>
          <w:szCs w:val="20"/>
        </w:rPr>
        <w:t xml:space="preserve"/>
      </w:r>
    </w:p>
    <w:p>
      <w:pPr>
        <w:spacing w:after="80" w:before="220"/>
      </w:pPr>
      <w:r>
        <w:rPr>
          <w:rFonts w:ascii="Arial" w:cs="Arial" w:eastAsia="Arial" w:hAnsi="Arial"/>
          <w:b/>
          <w:bCs/>
          <w:color w:val="1F3864"/>
          <w:sz w:val="24"/>
          <w:szCs w:val="24"/>
        </w:rPr>
        <w:t xml:space="preserve">Análisis de casos</w:t>
      </w:r>
    </w:p>
    <w:p>
      <w:pPr>
        <w:spacing w:after="60" w:before="140"/>
      </w:pPr>
      <w:r>
        <w:rPr>
          <w:rFonts w:ascii="Arial" w:cs="Arial" w:eastAsia="Arial" w:hAnsi="Arial"/>
          <w:b/>
          <w:bCs/>
          <w:color w:val="1F3864"/>
          <w:sz w:val="21"/>
          <w:szCs w:val="21"/>
        </w:rPr>
        <w:t xml:space="preserve">Caso PC1:</w:t>
      </w:r>
    </w:p>
    <w:p>
      <w:pPr>
        <w:spacing w:after="60" w:before="40"/>
      </w:pPr>
      <w:r>
        <w:rPr>
          <w:rFonts w:ascii="Arial" w:cs="Arial" w:eastAsia="Arial" w:hAnsi="Arial"/>
          <w:sz w:val="20"/>
          <w:szCs w:val="20"/>
        </w:rPr>
        <w:t xml:space="preserve">La dirección IP asignada era errónea (192.168.11.10). Se corrigió a 192.168.10.10 en la configuración de escritorio, verificando el éxito mediante un ping a 192.168.10.11.</w:t>
      </w:r>
    </w:p>
    <w:p>
      <w:pPr>
        <w:spacing w:after="60" w:before="140"/>
      </w:pPr>
      <w:r>
        <w:rPr>
          <w:rFonts w:ascii="Arial" w:cs="Arial" w:eastAsia="Arial" w:hAnsi="Arial"/>
          <w:b/>
          <w:bCs/>
          <w:color w:val="1F3864"/>
          <w:sz w:val="21"/>
          <w:szCs w:val="21"/>
        </w:rPr>
        <w:t xml:space="preserve">Caso PC4:</w:t>
      </w:r>
    </w:p>
    <w:p>
      <w:pPr>
        <w:spacing w:after="60" w:before="40"/>
      </w:pPr>
      <w:r>
        <w:rPr>
          <w:rFonts w:ascii="Arial" w:cs="Arial" w:eastAsia="Arial" w:hAnsi="Arial"/>
          <w:sz w:val="20"/>
          <w:szCs w:val="20"/>
        </w:rPr>
        <w:t xml:space="preserve">El gateway configurado (192.168.1.1) no era válido para esta topología. Se actualizó al gateway correcto (192.168.11.1), confirmando la comunicación con 192.168.10.10.</w:t>
      </w:r>
    </w:p>
    <w:p>
      <w:pPr>
        <w:spacing w:after="60" w:before="140"/>
      </w:pPr>
      <w:r>
        <w:rPr>
          <w:rFonts w:ascii="Arial" w:cs="Arial" w:eastAsia="Arial" w:hAnsi="Arial"/>
          <w:b/>
          <w:bCs/>
          <w:color w:val="1F3864"/>
          <w:sz w:val="21"/>
          <w:szCs w:val="21"/>
        </w:rPr>
        <w:t xml:space="preserve">Caso S1:</w:t>
      </w:r>
    </w:p>
    <w:p>
      <w:pPr>
        <w:spacing w:after="60" w:before="40"/>
      </w:pPr>
      <w:r>
        <w:rPr>
          <w:rFonts w:ascii="Arial" w:cs="Arial" w:eastAsia="Arial" w:hAnsi="Arial"/>
          <w:sz w:val="20"/>
          <w:szCs w:val="20"/>
        </w:rPr>
        <w:t xml:space="preserve">No contaba con un gateway predeterminado. Se configuró mediante el comando:</w:t>
      </w:r>
    </w:p>
    <w:p>
      <w:pPr>
        <w:spacing w:after="40" w:before="40"/>
        <w:ind w:left="480"/>
      </w:pPr>
      <w:r>
        <w:rPr>
          <w:rFonts w:ascii="Courier New" w:cs="Courier New" w:eastAsia="Courier New" w:hAnsi="Courier New"/>
          <w:color w:val="1F3864"/>
          <w:sz w:val="18"/>
          <w:szCs w:val="18"/>
        </w:rPr>
        <w:t xml:space="preserve">S1(config)# ip default-gateway 192.168.10.1</w:t>
      </w:r>
    </w:p>
    <w:p>
      <w:pPr>
        <w:spacing w:after="60" w:before="40"/>
      </w:pPr>
      <w:r>
        <w:rPr>
          <w:rFonts w:ascii="Arial" w:cs="Arial" w:eastAsia="Arial" w:hAnsi="Arial"/>
          <w:sz w:val="20"/>
          <w:szCs w:val="20"/>
        </w:rPr>
        <w:t xml:space="preserve">Se probó exitosamente la conexión hacia 192.168.11.1.</w:t>
      </w:r>
    </w:p>
    <w:p>
      <w:pPr>
        <w:spacing w:after="60" w:before="140"/>
      </w:pPr>
      <w:r>
        <w:rPr>
          <w:rFonts w:ascii="Arial" w:cs="Arial" w:eastAsia="Arial" w:hAnsi="Arial"/>
          <w:b/>
          <w:bCs/>
          <w:color w:val="1F3864"/>
          <w:sz w:val="21"/>
          <w:szCs w:val="21"/>
        </w:rPr>
        <w:t xml:space="preserve">Caso S2:</w:t>
      </w:r>
    </w:p>
    <w:p>
      <w:pPr>
        <w:spacing w:after="60" w:before="40"/>
      </w:pPr>
      <w:r>
        <w:rPr>
          <w:rFonts w:ascii="Arial" w:cs="Arial" w:eastAsia="Arial" w:hAnsi="Arial"/>
          <w:sz w:val="20"/>
          <w:szCs w:val="20"/>
        </w:rPr>
        <w:t xml:space="preserve">La interfaz VLAN 1 carecía de dirección IP y el gateway configurado era incorrecto. Se asignó la IP 192.168.11.2 con su máscara correspondiente y se estableció el gateway 192.168.11.1, logrando comunicación con 192.168.10.1.</w:t>
      </w:r>
    </w:p>
    <w:p>
      <w:r>
        <w:rPr>
          <w:sz w:val="20"/>
          <w:szCs w:val="20"/>
        </w:rPr>
        <w:t xml:space="preserve"/>
      </w:r>
    </w:p>
    <w:p>
      <w:pPr>
        <w:pBdr>
          <w:top w:val="single" w:color="1F3864" w:sz="6" w:space="1"/>
        </w:pBdr>
        <w:spacing w:after="60" w:before="200"/>
      </w:pPr>
      <w:r>
        <w:rPr>
          <w:rFonts w:ascii="Arial" w:cs="Arial" w:eastAsia="Arial" w:hAnsi="Arial"/>
          <w:b/>
          <w:bCs/>
          <w:color w:val="1F3864"/>
          <w:sz w:val="24"/>
          <w:szCs w:val="24"/>
        </w:rPr>
        <w:t xml:space="preserve">Conclusión</w:t>
      </w:r>
    </w:p>
    <w:p>
      <w:pPr>
        <w:spacing w:after="60" w:before="40"/>
      </w:pPr>
      <w:r>
        <w:rPr>
          <w:rFonts w:ascii="Arial" w:cs="Arial" w:eastAsia="Arial" w:hAnsi="Arial"/>
          <w:sz w:val="20"/>
          <w:szCs w:val="20"/>
        </w:rPr>
        <w:t xml:space="preserve">La falla general se debió a configuraciones mal aplicadas u omisiones en las direcciones IP y puertas de enlace, lo cual interrumpía el tráfico entre los diferentes segmentos de la red. Una vez corregidas todas las configuraciones, se logró plena conectividad entre todos los dispositivos de la topología.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2026-05-30T05:39:39.506Z</dcterms:created>
  <dcterms:modified xsi:type="dcterms:W3CDTF">2026-05-30T05:39:39.520Z</dcterms:modified>
</cp:coreProperties>
</file>

<file path=docProps/custom.xml><?xml version="1.0" encoding="utf-8"?>
<Properties xmlns="http://schemas.openxmlformats.org/officeDocument/2006/custom-properties" xmlns:vt="http://schemas.openxmlformats.org/officeDocument/2006/docPropsVTypes"/>
</file>