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color w:val="1F5C8B"/>
          <w:sz w:val="32"/>
          <w:szCs w:val="32"/>
        </w:rPr>
        <w:t xml:space="preserve">Packet Tracer: Configuración de direccionamiento IPv6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Cisco Networking Academy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Alumna: Ileana Tapia Castillo     Matrícula: A01773374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Materia: TC2006B.301</w:t>
      </w:r>
    </w:p>
    <w:p>
      <w:pPr>
        <w:spacing w:after="160" w:before="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Profesor: José María Aguilera Méndez</w:t>
      </w:r>
    </w:p>
    <w:p>
      <w:pPr>
        <w:pBdr>
          <w:bottom w:val="single" w:color="2E74B5" w:sz="6" w:space="1"/>
        </w:pBdr>
        <w:spacing w:after="240" w:before="0"/>
      </w:pPr>
    </w:p>
    <w:p>
      <w:pPr>
        <w:spacing w:after="80" w:before="220"/>
      </w:pPr>
      <w:r>
        <w:rPr>
          <w:rFonts w:ascii="Arial" w:cs="Arial" w:eastAsia="Arial" w:hAnsi="Arial"/>
          <w:b/>
          <w:bCs/>
          <w:color w:val="1F5C8B"/>
          <w:sz w:val="24"/>
          <w:szCs w:val="24"/>
        </w:rPr>
        <w:t xml:space="preserve">Tabla de asignación de direcciones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3360"/>
        <w:gridCol w:w="2000"/>
      </w:tblGrid>
      <w:tr>
        <w:tc>
          <w:tcPr>
            <w:tcW w:type="dxa" w:w="9360"/>
            <w:gridSpan w:val="4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2E74B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Tabla de asignación de direcciones</w:t>
            </w:r>
          </w:p>
        </w:tc>
      </w:tr>
      <w:tr>
        <w:tc>
          <w:tcPr>
            <w:tcW w:type="dxa" w:w="20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Dispositivo</w:t>
            </w:r>
          </w:p>
        </w:tc>
        <w:tc>
          <w:tcPr>
            <w:tcW w:type="dxa" w:w="20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Interfaz</w:t>
            </w:r>
          </w:p>
        </w:tc>
        <w:tc>
          <w:tcPr>
            <w:tcW w:type="dxa" w:w="336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Dirección/Prefijo IPv6</w:t>
            </w:r>
          </w:p>
        </w:tc>
        <w:tc>
          <w:tcPr>
            <w:tcW w:type="dxa" w:w="20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Gateway predeterminado</w:t>
            </w:r>
          </w:p>
        </w:tc>
      </w:tr>
      <w:tr>
        <w:tc>
          <w:tcPr>
            <w:tcW w:type="dxa" w:w="20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R1</w:t>
            </w:r>
          </w:p>
        </w:tc>
        <w:tc>
          <w:tcPr>
            <w:tcW w:type="dxa" w:w="20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G0/0</w:t>
            </w:r>
          </w:p>
        </w:tc>
        <w:tc>
          <w:tcPr>
            <w:tcW w:type="dxa" w:w="336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2001:db8:1:1::1/64</w:t>
            </w:r>
          </w:p>
        </w:tc>
        <w:tc>
          <w:tcPr>
            <w:tcW w:type="dxa" w:w="20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N/D</w:t>
            </w:r>
          </w:p>
        </w:tc>
      </w:tr>
      <w:tr>
        <w:tc>
          <w:tcPr>
            <w:tcW w:type="dxa" w:w="20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fe80::1</w:t>
            </w:r>
          </w:p>
        </w:tc>
        <w:tc>
          <w:tcPr>
            <w:tcW w:type="dxa" w:w="20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G0/1</w:t>
            </w:r>
          </w:p>
        </w:tc>
        <w:tc>
          <w:tcPr>
            <w:tcW w:type="dxa" w:w="336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2001:db8:1:2::1/64</w:t>
            </w:r>
          </w:p>
        </w:tc>
        <w:tc>
          <w:tcPr>
            <w:tcW w:type="dxa" w:w="20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N/D</w:t>
            </w:r>
          </w:p>
        </w:tc>
      </w:tr>
      <w:tr>
        <w:tc>
          <w:tcPr>
            <w:tcW w:type="dxa" w:w="20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fe80::1</w:t>
            </w:r>
          </w:p>
        </w:tc>
        <w:tc>
          <w:tcPr>
            <w:tcW w:type="dxa" w:w="20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S0/0/0</w:t>
            </w:r>
          </w:p>
        </w:tc>
        <w:tc>
          <w:tcPr>
            <w:tcW w:type="dxa" w:w="336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2001:db8:1:a001::2/64</w:t>
            </w:r>
          </w:p>
        </w:tc>
        <w:tc>
          <w:tcPr>
            <w:tcW w:type="dxa" w:w="20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N/D</w:t>
            </w:r>
          </w:p>
        </w:tc>
      </w:tr>
      <w:tr>
        <w:tc>
          <w:tcPr>
            <w:tcW w:type="dxa" w:w="20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fe80::1</w:t>
            </w:r>
          </w:p>
        </w:tc>
        <w:tc>
          <w:tcPr>
            <w:tcW w:type="dxa" w:w="20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Ventas</w:t>
            </w:r>
          </w:p>
        </w:tc>
        <w:tc>
          <w:tcPr>
            <w:tcW w:type="dxa" w:w="20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NIC</w:t>
            </w:r>
          </w:p>
        </w:tc>
        <w:tc>
          <w:tcPr>
            <w:tcW w:type="dxa" w:w="336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2001:db8:1:1::2/64</w:t>
            </w:r>
          </w:p>
        </w:tc>
        <w:tc>
          <w:tcPr>
            <w:tcW w:type="dxa" w:w="20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fe80::1</w:t>
            </w:r>
          </w:p>
        </w:tc>
      </w:tr>
      <w:tr>
        <w:tc>
          <w:tcPr>
            <w:tcW w:type="dxa" w:w="20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Facturación</w:t>
            </w:r>
          </w:p>
        </w:tc>
        <w:tc>
          <w:tcPr>
            <w:tcW w:type="dxa" w:w="20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NIC</w:t>
            </w:r>
          </w:p>
        </w:tc>
        <w:tc>
          <w:tcPr>
            <w:tcW w:type="dxa" w:w="336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2001:db8:1:1::3/64</w:t>
            </w:r>
          </w:p>
        </w:tc>
        <w:tc>
          <w:tcPr>
            <w:tcW w:type="dxa" w:w="20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fe80::1</w:t>
            </w:r>
          </w:p>
        </w:tc>
      </w:tr>
      <w:tr>
        <w:tc>
          <w:tcPr>
            <w:tcW w:type="dxa" w:w="20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Contabilidad</w:t>
            </w:r>
          </w:p>
        </w:tc>
        <w:tc>
          <w:tcPr>
            <w:tcW w:type="dxa" w:w="20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NIC</w:t>
            </w:r>
          </w:p>
        </w:tc>
        <w:tc>
          <w:tcPr>
            <w:tcW w:type="dxa" w:w="336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2001:db8:1:1::4/64</w:t>
            </w:r>
          </w:p>
        </w:tc>
        <w:tc>
          <w:tcPr>
            <w:tcW w:type="dxa" w:w="20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fe80::1</w:t>
            </w:r>
          </w:p>
        </w:tc>
      </w:tr>
      <w:tr>
        <w:tc>
          <w:tcPr>
            <w:tcW w:type="dxa" w:w="20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Diseño</w:t>
            </w:r>
          </w:p>
        </w:tc>
        <w:tc>
          <w:tcPr>
            <w:tcW w:type="dxa" w:w="20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NIC</w:t>
            </w:r>
          </w:p>
        </w:tc>
        <w:tc>
          <w:tcPr>
            <w:tcW w:type="dxa" w:w="336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2001:db8:1:2::2/64</w:t>
            </w:r>
          </w:p>
        </w:tc>
        <w:tc>
          <w:tcPr>
            <w:tcW w:type="dxa" w:w="20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fe80::1</w:t>
            </w:r>
          </w:p>
        </w:tc>
      </w:tr>
      <w:tr>
        <w:tc>
          <w:tcPr>
            <w:tcW w:type="dxa" w:w="20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Ingeniería</w:t>
            </w:r>
          </w:p>
        </w:tc>
        <w:tc>
          <w:tcPr>
            <w:tcW w:type="dxa" w:w="20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NIC</w:t>
            </w:r>
          </w:p>
        </w:tc>
        <w:tc>
          <w:tcPr>
            <w:tcW w:type="dxa" w:w="336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2001:db8:1:2::3/64</w:t>
            </w:r>
          </w:p>
        </w:tc>
        <w:tc>
          <w:tcPr>
            <w:tcW w:type="dxa" w:w="20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fe80::1</w:t>
            </w:r>
          </w:p>
        </w:tc>
      </w:tr>
      <w:tr>
        <w:tc>
          <w:tcPr>
            <w:tcW w:type="dxa" w:w="20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CAD</w:t>
            </w:r>
          </w:p>
        </w:tc>
        <w:tc>
          <w:tcPr>
            <w:tcW w:type="dxa" w:w="20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NIC</w:t>
            </w:r>
          </w:p>
        </w:tc>
        <w:tc>
          <w:tcPr>
            <w:tcW w:type="dxa" w:w="336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2001:db8:1:2::4/64</w:t>
            </w:r>
          </w:p>
        </w:tc>
        <w:tc>
          <w:tcPr>
            <w:tcW w:type="dxa" w:w="20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fe80::1</w:t>
            </w:r>
          </w:p>
        </w:tc>
      </w:tr>
      <w:tr>
        <w:tc>
          <w:tcPr>
            <w:tcW w:type="dxa" w:w="20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ISP</w:t>
            </w:r>
          </w:p>
        </w:tc>
        <w:tc>
          <w:tcPr>
            <w:tcW w:type="dxa" w:w="20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S0/0/0</w:t>
            </w:r>
          </w:p>
        </w:tc>
        <w:tc>
          <w:tcPr>
            <w:tcW w:type="dxa" w:w="336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2001:db8:1:a001::1</w:t>
            </w:r>
          </w:p>
        </w:tc>
        <w:tc>
          <w:tcPr>
            <w:tcW w:type="dxa" w:w="20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fe80::1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1F5C8B"/>
          <w:sz w:val="24"/>
          <w:szCs w:val="24"/>
        </w:rPr>
        <w:t xml:space="preserve">Objetivos</w:t>
      </w:r>
    </w:p>
    <w:p>
      <w:pPr>
        <w:spacing w:after="60" w:before="0"/>
      </w:pPr>
      <w:r>
        <w:rPr>
          <w:rFonts w:ascii="Arial" w:cs="Arial" w:eastAsia="Arial" w:hAnsi="Arial"/>
          <w:sz w:val="20"/>
          <w:szCs w:val="20"/>
        </w:rPr>
        <w:t xml:space="preserve">Parte 1: Configurar el direccionamiento IPv6 en el router</w:t>
      </w:r>
    </w:p>
    <w:p>
      <w:pPr>
        <w:spacing w:after="60" w:before="0"/>
      </w:pPr>
      <w:r>
        <w:rPr>
          <w:rFonts w:ascii="Arial" w:cs="Arial" w:eastAsia="Arial" w:hAnsi="Arial"/>
          <w:sz w:val="20"/>
          <w:szCs w:val="20"/>
        </w:rPr>
        <w:t xml:space="preserve">Parte 2: Configurar el direccionamiento IPv6 en los servidores</w:t>
      </w:r>
    </w:p>
    <w:p>
      <w:pPr>
        <w:spacing w:after="60" w:before="0"/>
      </w:pPr>
      <w:r>
        <w:rPr>
          <w:rFonts w:ascii="Arial" w:cs="Arial" w:eastAsia="Arial" w:hAnsi="Arial"/>
          <w:sz w:val="20"/>
          <w:szCs w:val="20"/>
        </w:rPr>
        <w:t xml:space="preserve">Parte 3: Configurar el direccionamiento IPv6 en los clientes</w:t>
      </w:r>
    </w:p>
    <w:p>
      <w:pPr>
        <w:spacing w:after="60" w:before="0"/>
      </w:pPr>
      <w:r>
        <w:rPr>
          <w:rFonts w:ascii="Arial" w:cs="Arial" w:eastAsia="Arial" w:hAnsi="Arial"/>
          <w:sz w:val="20"/>
          <w:szCs w:val="20"/>
        </w:rPr>
        <w:t xml:space="preserve">Parte 4: Probar y verificar la conectividad de red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1F5C8B"/>
          <w:sz w:val="24"/>
          <w:szCs w:val="24"/>
        </w:rPr>
        <w:t xml:space="preserve">Aspectos básicos</w:t>
      </w:r>
    </w:p>
    <w:p>
      <w:pPr>
        <w:spacing w:after="60" w:before="0"/>
      </w:pPr>
      <w:r>
        <w:rPr>
          <w:rFonts w:ascii="Arial" w:cs="Arial" w:eastAsia="Arial" w:hAnsi="Arial"/>
          <w:sz w:val="20"/>
          <w:szCs w:val="20"/>
        </w:rPr>
        <w:t xml:space="preserve">En esta actividad, se practicó la configuración de direcciones IPv6 en un router, en servidores y en clientes. También se verificó la implementación del direccionamiento IPv6.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1F5C8B"/>
          <w:sz w:val="24"/>
          <w:szCs w:val="24"/>
        </w:rPr>
        <w:t xml:space="preserve">Parte 1: Configurar el direccionamiento IPv6 en el router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5C8B"/>
          <w:sz w:val="21"/>
          <w:szCs w:val="21"/>
        </w:rPr>
        <w:t xml:space="preserve">Paso 1: Habilitar el router para reenviar paquetes IPv6.</w:t>
      </w:r>
    </w:p>
    <w:p>
      <w:pPr>
        <w:spacing w:after="40" w:before="40"/>
        <w:ind w:left="4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a.  </w:t>
      </w:r>
      <w:r>
        <w:rPr>
          <w:rFonts w:ascii="Arial" w:cs="Arial" w:eastAsia="Arial" w:hAnsi="Arial"/>
          <w:sz w:val="20"/>
          <w:szCs w:val="20"/>
        </w:rPr>
        <w:t xml:space="preserve">Se hizo clic en R1 y, a continuación, en la ficha CLI. Se presionó Entrar.</w:t>
      </w:r>
    </w:p>
    <w:p>
      <w:pPr>
        <w:spacing w:after="40" w:before="40"/>
        <w:ind w:left="4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b.  </w:t>
      </w:r>
      <w:r>
        <w:rPr>
          <w:rFonts w:ascii="Arial" w:cs="Arial" w:eastAsia="Arial" w:hAnsi="Arial"/>
          <w:sz w:val="20"/>
          <w:szCs w:val="20"/>
        </w:rPr>
        <w:t xml:space="preserve">Se ingresó al modo EXEC con privilegios.</w:t>
      </w:r>
    </w:p>
    <w:p>
      <w:pPr>
        <w:spacing w:after="40" w:before="40"/>
        <w:ind w:left="4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c.  </w:t>
      </w:r>
      <w:r>
        <w:rPr>
          <w:rFonts w:ascii="Arial" w:cs="Arial" w:eastAsia="Arial" w:hAnsi="Arial"/>
          <w:sz w:val="20"/>
          <w:szCs w:val="20"/>
        </w:rPr>
        <w:t xml:space="preserve">Se introdujo el comando de configuración global: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R1(config)# ipv6 unicast-routing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5C8B"/>
          <w:sz w:val="21"/>
          <w:szCs w:val="21"/>
        </w:rPr>
        <w:t xml:space="preserve">Paso 2: Configurar el direccionamiento IPv6 en GigabitEthernet 0/0.</w:t>
      </w:r>
    </w:p>
    <w:p>
      <w:pPr>
        <w:spacing w:after="40" w:before="40"/>
        <w:ind w:left="4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a.  </w:t>
      </w:r>
      <w:r>
        <w:rPr>
          <w:rFonts w:ascii="Arial" w:cs="Arial" w:eastAsia="Arial" w:hAnsi="Arial"/>
          <w:sz w:val="20"/>
          <w:szCs w:val="20"/>
        </w:rPr>
        <w:t xml:space="preserve">Se ingresó al modo de configuración de interfaz para GigabitEthernet0/0: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R1(config)# interface gigabitEthernet 0/0</w:t>
      </w:r>
    </w:p>
    <w:p>
      <w:pPr>
        <w:spacing w:after="40" w:before="40"/>
        <w:ind w:left="4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b.  </w:t>
      </w:r>
      <w:r>
        <w:rPr>
          <w:rFonts w:ascii="Arial" w:cs="Arial" w:eastAsia="Arial" w:hAnsi="Arial"/>
          <w:sz w:val="20"/>
          <w:szCs w:val="20"/>
        </w:rPr>
        <w:t xml:space="preserve">Se configuró la dirección IPv6: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R1(config-if)# ipv6 address 2001:db8:1:1::1/64</w:t>
      </w:r>
    </w:p>
    <w:p>
      <w:pPr>
        <w:spacing w:after="40" w:before="40"/>
        <w:ind w:left="4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c.  </w:t>
      </w:r>
      <w:r>
        <w:rPr>
          <w:rFonts w:ascii="Arial" w:cs="Arial" w:eastAsia="Arial" w:hAnsi="Arial"/>
          <w:sz w:val="20"/>
          <w:szCs w:val="20"/>
        </w:rPr>
        <w:t xml:space="preserve">Se configuró la dirección IPv6 link-local: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R1(config-if)# ipv6 address fe80::1 link-local</w:t>
      </w:r>
    </w:p>
    <w:p>
      <w:pPr>
        <w:spacing w:after="40" w:before="40"/>
        <w:ind w:left="4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d.  </w:t>
      </w:r>
      <w:r>
        <w:rPr>
          <w:rFonts w:ascii="Arial" w:cs="Arial" w:eastAsia="Arial" w:hAnsi="Arial"/>
          <w:sz w:val="20"/>
          <w:szCs w:val="20"/>
        </w:rPr>
        <w:t xml:space="preserve">Se activó la interfaz: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R1(config-if)# no shutdown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5C8B"/>
          <w:sz w:val="21"/>
          <w:szCs w:val="21"/>
        </w:rPr>
        <w:t xml:space="preserve">Paso 3: Configurar el direccionamiento IPv6 en GigabitEthernet 0/1.</w:t>
      </w:r>
    </w:p>
    <w:p>
      <w:pPr>
        <w:spacing w:after="40" w:before="40"/>
        <w:ind w:left="4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a.  </w:t>
      </w:r>
      <w:r>
        <w:rPr>
          <w:rFonts w:ascii="Arial" w:cs="Arial" w:eastAsia="Arial" w:hAnsi="Arial"/>
          <w:sz w:val="20"/>
          <w:szCs w:val="20"/>
        </w:rPr>
        <w:t xml:space="preserve">Se ingresó al modo de configuración de interfaz para GigabitEthernet0/1: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R1(config)# interface gigabitEthernet 0/1</w:t>
      </w:r>
    </w:p>
    <w:p>
      <w:pPr>
        <w:spacing w:after="40" w:before="40"/>
        <w:ind w:left="4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b.  </w:t>
      </w:r>
      <w:r>
        <w:rPr>
          <w:rFonts w:ascii="Arial" w:cs="Arial" w:eastAsia="Arial" w:hAnsi="Arial"/>
          <w:sz w:val="20"/>
          <w:szCs w:val="20"/>
        </w:rPr>
        <w:t xml:space="preserve">Se consultó la tabla de direccionamiento para obtener la dirección IPv6 correcta.</w:t>
      </w:r>
    </w:p>
    <w:p>
      <w:pPr>
        <w:spacing w:after="40" w:before="40"/>
        <w:ind w:left="4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c.  </w:t>
      </w:r>
      <w:r>
        <w:rPr>
          <w:rFonts w:ascii="Arial" w:cs="Arial" w:eastAsia="Arial" w:hAnsi="Arial"/>
          <w:sz w:val="20"/>
          <w:szCs w:val="20"/>
        </w:rPr>
        <w:t xml:space="preserve">Se configuró la dirección IPv6, la dirección link-local y se activó la interfaz: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R1(config-if)# ipv6 address 2001:db8:1:2::1/64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R1(config-if)# ipv6 address fe80::1 link-local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R1(config-if)# no shutdown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5C8B"/>
          <w:sz w:val="21"/>
          <w:szCs w:val="21"/>
        </w:rPr>
        <w:t xml:space="preserve">Paso 4: Configurar el direccionamiento IPv6 en Serial 0/0/0.</w:t>
      </w:r>
    </w:p>
    <w:p>
      <w:pPr>
        <w:spacing w:after="40" w:before="40"/>
        <w:ind w:left="4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a.  </w:t>
      </w:r>
      <w:r>
        <w:rPr>
          <w:rFonts w:ascii="Arial" w:cs="Arial" w:eastAsia="Arial" w:hAnsi="Arial"/>
          <w:sz w:val="20"/>
          <w:szCs w:val="20"/>
        </w:rPr>
        <w:t xml:space="preserve">Se ingresó al modo de configuración de interfaz para Serial0/0/0: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R1(config)# interface serial 0/0/0</w:t>
      </w:r>
    </w:p>
    <w:p>
      <w:pPr>
        <w:spacing w:after="40" w:before="40"/>
        <w:ind w:left="4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b.  </w:t>
      </w:r>
      <w:r>
        <w:rPr>
          <w:rFonts w:ascii="Arial" w:cs="Arial" w:eastAsia="Arial" w:hAnsi="Arial"/>
          <w:sz w:val="20"/>
          <w:szCs w:val="20"/>
        </w:rPr>
        <w:t xml:space="preserve">Se consultó la tabla de direccionamiento para obtener la dirección IPv6 correcta.</w:t>
      </w:r>
    </w:p>
    <w:p>
      <w:pPr>
        <w:spacing w:after="40" w:before="40"/>
        <w:ind w:left="4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c.  </w:t>
      </w:r>
      <w:r>
        <w:rPr>
          <w:rFonts w:ascii="Arial" w:cs="Arial" w:eastAsia="Arial" w:hAnsi="Arial"/>
          <w:sz w:val="20"/>
          <w:szCs w:val="20"/>
        </w:rPr>
        <w:t xml:space="preserve">Se configuró la dirección IPv6, la dirección link-local y se activó la interfaz: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R1(config-if)# ipv6 address 2001:db8:1:a001::2/64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R1(config-if)# ipv6 address fe80::1 link-local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R1(config-if)# no shutdown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5C8B"/>
          <w:sz w:val="21"/>
          <w:szCs w:val="21"/>
        </w:rPr>
        <w:t xml:space="preserve">Paso 5: Verificar el direccionamiento IPv6 en R1.</w:t>
      </w:r>
    </w:p>
    <w:p>
      <w:pPr>
        <w:spacing w:after="40" w:before="40"/>
        <w:ind w:left="4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a.  </w:t>
      </w:r>
      <w:r>
        <w:rPr>
          <w:rFonts w:ascii="Arial" w:cs="Arial" w:eastAsia="Arial" w:hAnsi="Arial"/>
          <w:sz w:val="20"/>
          <w:szCs w:val="20"/>
        </w:rPr>
        <w:t xml:space="preserve">Se salió del modo de configuración en R1.</w:t>
      </w:r>
    </w:p>
    <w:p>
      <w:pPr>
        <w:spacing w:after="40" w:before="40"/>
        <w:ind w:left="4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b.  </w:t>
      </w:r>
      <w:r>
        <w:rPr>
          <w:rFonts w:ascii="Arial" w:cs="Arial" w:eastAsia="Arial" w:hAnsi="Arial"/>
          <w:sz w:val="20"/>
          <w:szCs w:val="20"/>
        </w:rPr>
        <w:t xml:space="preserve">Se verificó el direccionamiento con el comando: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R1# show ipv6 interface brief</w:t>
      </w:r>
    </w:p>
    <w:p>
      <w:pPr>
        <w:spacing w:after="40" w:before="40"/>
        <w:ind w:left="4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c.  </w:t>
      </w:r>
      <w:r>
        <w:rPr>
          <w:rFonts w:ascii="Arial" w:cs="Arial" w:eastAsia="Arial" w:hAnsi="Arial"/>
          <w:sz w:val="20"/>
          <w:szCs w:val="20"/>
        </w:rPr>
        <w:t xml:space="preserve">Se verificó que todas las direcciones coincidieran con la tabla de direccionamiento.</w:t>
      </w:r>
    </w:p>
    <w:p>
      <w:pPr>
        <w:spacing w:after="40" w:before="40"/>
        <w:ind w:left="4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d.  </w:t>
      </w:r>
      <w:r>
        <w:rPr>
          <w:rFonts w:ascii="Arial" w:cs="Arial" w:eastAsia="Arial" w:hAnsi="Arial"/>
          <w:sz w:val="20"/>
          <w:szCs w:val="20"/>
        </w:rPr>
        <w:t xml:space="preserve">Se guardó la configuración en la NVRAM: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R1# copy running-config startup-config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1F5C8B"/>
          <w:sz w:val="24"/>
          <w:szCs w:val="24"/>
        </w:rPr>
        <w:t xml:space="preserve">Parte 2: Configurar el direccionamiento IPv6 en los servidores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5C8B"/>
          <w:sz w:val="21"/>
          <w:szCs w:val="21"/>
        </w:rPr>
        <w:t xml:space="preserve">Paso 1: Configurar el direccionamiento IPv6 en el servidor de Contabilidad.</w:t>
      </w:r>
    </w:p>
    <w:p>
      <w:pPr>
        <w:spacing w:after="40" w:before="40"/>
        <w:ind w:left="4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a.  </w:t>
      </w:r>
      <w:r>
        <w:rPr>
          <w:rFonts w:ascii="Arial" w:cs="Arial" w:eastAsia="Arial" w:hAnsi="Arial"/>
          <w:sz w:val="20"/>
          <w:szCs w:val="20"/>
        </w:rPr>
        <w:t xml:space="preserve">Se hizo clic en Contabilidad y, a continuación, en la ficha Desktop &gt; IP Configuration.</w:t>
      </w:r>
    </w:p>
    <w:p>
      <w:pPr>
        <w:spacing w:after="40" w:before="40"/>
        <w:ind w:left="4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b.  </w:t>
      </w:r>
      <w:r>
        <w:rPr>
          <w:rFonts w:ascii="Arial" w:cs="Arial" w:eastAsia="Arial" w:hAnsi="Arial"/>
          <w:sz w:val="20"/>
          <w:szCs w:val="20"/>
        </w:rPr>
        <w:t xml:space="preserve">Se estableció la dirección IPv6:  2001:db8:1:1::4  con prefijo /64.</w:t>
      </w:r>
    </w:p>
    <w:p>
      <w:pPr>
        <w:spacing w:after="40" w:before="40"/>
        <w:ind w:left="4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c.  </w:t>
      </w:r>
      <w:r>
        <w:rPr>
          <w:rFonts w:ascii="Arial" w:cs="Arial" w:eastAsia="Arial" w:hAnsi="Arial"/>
          <w:sz w:val="20"/>
          <w:szCs w:val="20"/>
        </w:rPr>
        <w:t xml:space="preserve">Se estableció la dirección link-local fe80::1 como gateway IPv6.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5C8B"/>
          <w:sz w:val="21"/>
          <w:szCs w:val="21"/>
        </w:rPr>
        <w:t xml:space="preserve">Paso 2: Configurar el direccionamiento IPv6 en el servidor CAD.</w:t>
      </w:r>
    </w:p>
    <w:p>
      <w:pPr>
        <w:spacing w:after="40" w:before="40"/>
        <w:ind w:left="4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a.  </w:t>
      </w:r>
      <w:r>
        <w:rPr>
          <w:rFonts w:ascii="Arial" w:cs="Arial" w:eastAsia="Arial" w:hAnsi="Arial"/>
          <w:sz w:val="20"/>
          <w:szCs w:val="20"/>
        </w:rPr>
        <w:t xml:space="preserve">Se configuró el servidor CAD siguiendo el mismo procedimiento del paso 1.</w:t>
      </w:r>
    </w:p>
    <w:p>
      <w:pPr>
        <w:spacing w:after="40" w:before="40"/>
        <w:ind w:left="4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b.  </w:t>
      </w:r>
      <w:r>
        <w:rPr>
          <w:rFonts w:ascii="Arial" w:cs="Arial" w:eastAsia="Arial" w:hAnsi="Arial"/>
          <w:sz w:val="20"/>
          <w:szCs w:val="20"/>
        </w:rPr>
        <w:t xml:space="preserve">Dirección IPv6 asignada:  2001:db8:1:2::4  con prefijo /64.</w:t>
      </w:r>
    </w:p>
    <w:p>
      <w:pPr>
        <w:spacing w:after="40" w:before="40"/>
        <w:ind w:left="4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c.  </w:t>
      </w:r>
      <w:r>
        <w:rPr>
          <w:rFonts w:ascii="Arial" w:cs="Arial" w:eastAsia="Arial" w:hAnsi="Arial"/>
          <w:sz w:val="20"/>
          <w:szCs w:val="20"/>
        </w:rPr>
        <w:t xml:space="preserve">Gateway IPv6 (link-local):  fe80::1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1F5C8B"/>
          <w:sz w:val="24"/>
          <w:szCs w:val="24"/>
        </w:rPr>
        <w:t xml:space="preserve">Parte 3: Configurar el direccionamiento IPv6 en los clientes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5C8B"/>
          <w:sz w:val="21"/>
          <w:szCs w:val="21"/>
        </w:rPr>
        <w:t xml:space="preserve">Paso 1: Configurar el direccionamiento IPv6 en los clientes Ventas y Facturación.</w:t>
      </w:r>
    </w:p>
    <w:p>
      <w:pPr>
        <w:spacing w:after="40" w:before="40"/>
        <w:ind w:left="4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a.  </w:t>
      </w:r>
      <w:r>
        <w:rPr>
          <w:rFonts w:ascii="Arial" w:cs="Arial" w:eastAsia="Arial" w:hAnsi="Arial"/>
          <w:sz w:val="20"/>
          <w:szCs w:val="20"/>
        </w:rPr>
        <w:t xml:space="preserve">Se hizo clic en Facturación &gt; Desktop &gt; IP Configuration.</w:t>
      </w:r>
    </w:p>
    <w:p>
      <w:pPr>
        <w:spacing w:after="40" w:before="40"/>
        <w:ind w:left="4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b.  </w:t>
      </w:r>
      <w:r>
        <w:rPr>
          <w:rFonts w:ascii="Arial" w:cs="Arial" w:eastAsia="Arial" w:hAnsi="Arial"/>
          <w:sz w:val="20"/>
          <w:szCs w:val="20"/>
        </w:rPr>
        <w:t xml:space="preserve">Se estableció la dirección IPv6:  2001:db8:1:1::3  con prefijo /64.</w:t>
      </w:r>
    </w:p>
    <w:p>
      <w:pPr>
        <w:spacing w:after="40" w:before="40"/>
        <w:ind w:left="4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c.  </w:t>
      </w:r>
      <w:r>
        <w:rPr>
          <w:rFonts w:ascii="Arial" w:cs="Arial" w:eastAsia="Arial" w:hAnsi="Arial"/>
          <w:sz w:val="20"/>
          <w:szCs w:val="20"/>
        </w:rPr>
        <w:t xml:space="preserve">Se estableció fe80::1 como gateway IPv6.</w:t>
      </w:r>
    </w:p>
    <w:p>
      <w:pPr>
        <w:spacing w:after="40" w:before="40"/>
        <w:ind w:left="4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d.  </w:t>
      </w:r>
      <w:r>
        <w:rPr>
          <w:rFonts w:ascii="Arial" w:cs="Arial" w:eastAsia="Arial" w:hAnsi="Arial"/>
          <w:sz w:val="20"/>
          <w:szCs w:val="20"/>
        </w:rPr>
        <w:t xml:space="preserve">Se repitió el proceso para Ventas con la dirección:  2001:db8:1:1::2/64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5C8B"/>
          <w:sz w:val="21"/>
          <w:szCs w:val="21"/>
        </w:rPr>
        <w:t xml:space="preserve">Paso 2: Configurar el direccionamiento IPv6 en los clientes Ingeniería y Diseño.</w:t>
      </w:r>
    </w:p>
    <w:p>
      <w:pPr>
        <w:spacing w:after="40" w:before="40"/>
        <w:ind w:left="4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a.  </w:t>
      </w:r>
      <w:r>
        <w:rPr>
          <w:rFonts w:ascii="Arial" w:cs="Arial" w:eastAsia="Arial" w:hAnsi="Arial"/>
          <w:sz w:val="20"/>
          <w:szCs w:val="20"/>
        </w:rPr>
        <w:t xml:space="preserve">Se hizo clic en Ingeniería &gt; Desktop &gt; IP Configuration.</w:t>
      </w:r>
    </w:p>
    <w:p>
      <w:pPr>
        <w:spacing w:after="40" w:before="40"/>
        <w:ind w:left="4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b.  </w:t>
      </w:r>
      <w:r>
        <w:rPr>
          <w:rFonts w:ascii="Arial" w:cs="Arial" w:eastAsia="Arial" w:hAnsi="Arial"/>
          <w:sz w:val="20"/>
          <w:szCs w:val="20"/>
        </w:rPr>
        <w:t xml:space="preserve">Se estableció la dirección IPv6:  2001:db8:1:2::3  con prefijo /64.</w:t>
      </w:r>
    </w:p>
    <w:p>
      <w:pPr>
        <w:spacing w:after="40" w:before="40"/>
        <w:ind w:left="4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c.  </w:t>
      </w:r>
      <w:r>
        <w:rPr>
          <w:rFonts w:ascii="Arial" w:cs="Arial" w:eastAsia="Arial" w:hAnsi="Arial"/>
          <w:sz w:val="20"/>
          <w:szCs w:val="20"/>
        </w:rPr>
        <w:t xml:space="preserve">Se estableció fe80::1 como gateway IPv6.</w:t>
      </w:r>
    </w:p>
    <w:p>
      <w:pPr>
        <w:spacing w:after="40" w:before="40"/>
        <w:ind w:left="4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d.  </w:t>
      </w:r>
      <w:r>
        <w:rPr>
          <w:rFonts w:ascii="Arial" w:cs="Arial" w:eastAsia="Arial" w:hAnsi="Arial"/>
          <w:sz w:val="20"/>
          <w:szCs w:val="20"/>
        </w:rPr>
        <w:t xml:space="preserve">Se repitió el proceso para Diseño con la dirección:  2001:db8:1:2::2/64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1F5C8B"/>
          <w:sz w:val="24"/>
          <w:szCs w:val="24"/>
        </w:rPr>
        <w:t xml:space="preserve">Parte 4: Probar y verificar la conectividad de red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5C8B"/>
          <w:sz w:val="21"/>
          <w:szCs w:val="21"/>
        </w:rPr>
        <w:t xml:space="preserve">Paso 1: Abrir las páginas web del servidor desde los clientes.</w:t>
      </w:r>
    </w:p>
    <w:p>
      <w:pPr>
        <w:spacing w:after="40" w:before="40"/>
        <w:ind w:left="4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a.  </w:t>
      </w:r>
      <w:r>
        <w:rPr>
          <w:rFonts w:ascii="Arial" w:cs="Arial" w:eastAsia="Arial" w:hAnsi="Arial"/>
          <w:sz w:val="20"/>
          <w:szCs w:val="20"/>
        </w:rPr>
        <w:t xml:space="preserve">Se hizo clic en Ventas &gt; Desktop &gt; Web Browser.</w:t>
      </w:r>
    </w:p>
    <w:p>
      <w:pPr>
        <w:spacing w:after="40" w:before="40"/>
        <w:ind w:left="4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b.  </w:t>
      </w:r>
      <w:r>
        <w:rPr>
          <w:rFonts w:ascii="Arial" w:cs="Arial" w:eastAsia="Arial" w:hAnsi="Arial"/>
          <w:sz w:val="20"/>
          <w:szCs w:val="20"/>
        </w:rPr>
        <w:t xml:space="preserve">Se introdujo 2001:DB8:1:1::4 en el URL. Apareció correctamente el sitio web de Contabilidad.</w:t>
      </w:r>
    </w:p>
    <w:p>
      <w:pPr>
        <w:spacing w:after="40" w:before="40"/>
        <w:ind w:left="4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c.  </w:t>
      </w:r>
      <w:r>
        <w:rPr>
          <w:rFonts w:ascii="Arial" w:cs="Arial" w:eastAsia="Arial" w:hAnsi="Arial"/>
          <w:sz w:val="20"/>
          <w:szCs w:val="20"/>
        </w:rPr>
        <w:t xml:space="preserve">Se introdujo 2001:DB8:1:2::4 en el URL. Apareció correctamente el sitio web de CAD.</w:t>
      </w:r>
    </w:p>
    <w:p>
      <w:pPr>
        <w:spacing w:after="40" w:before="40"/>
        <w:ind w:left="4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d.  </w:t>
      </w:r>
      <w:r>
        <w:rPr>
          <w:rFonts w:ascii="Arial" w:cs="Arial" w:eastAsia="Arial" w:hAnsi="Arial"/>
          <w:sz w:val="20"/>
          <w:szCs w:val="20"/>
        </w:rPr>
        <w:t xml:space="preserve">Se repitió el proceso para el resto de los clientes. Todos los sitios cargaron correctamente.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5C8B"/>
          <w:sz w:val="21"/>
          <w:szCs w:val="21"/>
        </w:rPr>
        <w:t xml:space="preserve">Paso 2: Hacer ping al ISP.</w:t>
      </w:r>
    </w:p>
    <w:p>
      <w:pPr>
        <w:spacing w:after="40" w:before="40"/>
        <w:ind w:left="4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a.  </w:t>
      </w:r>
      <w:r>
        <w:rPr>
          <w:rFonts w:ascii="Arial" w:cs="Arial" w:eastAsia="Arial" w:hAnsi="Arial"/>
          <w:sz w:val="20"/>
          <w:szCs w:val="20"/>
        </w:rPr>
        <w:t xml:space="preserve">Se hizo clic en cada cliente &gt; Desktop &gt; Command Prompt.</w:t>
      </w:r>
    </w:p>
    <w:p>
      <w:pPr>
        <w:spacing w:after="40" w:before="40"/>
        <w:ind w:left="4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b.  </w:t>
      </w:r>
      <w:r>
        <w:rPr>
          <w:rFonts w:ascii="Arial" w:cs="Arial" w:eastAsia="Arial" w:hAnsi="Arial"/>
          <w:sz w:val="20"/>
          <w:szCs w:val="20"/>
        </w:rPr>
        <w:t xml:space="preserve">Se ejecutó el siguiente comando para probar la conectividad con el ISP: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C:\&gt; ping 2001:db8:1:a001::1</w:t>
      </w:r>
    </w:p>
    <w:p>
      <w:pPr>
        <w:spacing w:after="40" w:before="40"/>
        <w:ind w:left="4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c.  </w:t>
      </w:r>
      <w:r>
        <w:rPr>
          <w:rFonts w:ascii="Arial" w:cs="Arial" w:eastAsia="Arial" w:hAnsi="Arial"/>
          <w:sz w:val="20"/>
          <w:szCs w:val="20"/>
        </w:rPr>
        <w:t xml:space="preserve">Se verificó conectividad exitosa desde los cuatro clientes (Sales, Billing, Design, Engineering):</w:t>
      </w:r>
    </w:p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9360"/>
            <w:gridSpan w:val="4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2E74B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Resultados de ping al ISP — todos los clientes</w:t>
            </w:r>
          </w:p>
        </w:tc>
      </w:tr>
      <w:tr>
        <w:tc>
          <w:tcPr>
            <w:tcW w:type="dxa" w:w="234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Cliente</w:t>
            </w:r>
          </w:p>
        </w:tc>
        <w:tc>
          <w:tcPr>
            <w:tcW w:type="dxa" w:w="234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Paquetes enviados</w:t>
            </w:r>
          </w:p>
        </w:tc>
        <w:tc>
          <w:tcPr>
            <w:tcW w:type="dxa" w:w="234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Paquetes recibidos</w:t>
            </w:r>
          </w:p>
        </w:tc>
        <w:tc>
          <w:tcPr>
            <w:tcW w:type="dxa" w:w="234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Resultado</w:t>
            </w:r>
          </w:p>
        </w:tc>
      </w:tr>
      <w:tr>
        <w:tc>
          <w:tcPr>
            <w:tcW w:type="dxa" w:w="234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Sales</w:t>
            </w:r>
          </w:p>
        </w:tc>
        <w:tc>
          <w:tcPr>
            <w:tcW w:type="dxa" w:w="234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34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34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Exitoso (0% pérdida)</w:t>
            </w:r>
          </w:p>
        </w:tc>
      </w:tr>
      <w:tr>
        <w:tc>
          <w:tcPr>
            <w:tcW w:type="dxa" w:w="234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Billing</w:t>
            </w:r>
          </w:p>
        </w:tc>
        <w:tc>
          <w:tcPr>
            <w:tcW w:type="dxa" w:w="234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34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34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Exitoso (0% pérdida)</w:t>
            </w:r>
          </w:p>
        </w:tc>
      </w:tr>
      <w:tr>
        <w:tc>
          <w:tcPr>
            <w:tcW w:type="dxa" w:w="234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Design</w:t>
            </w:r>
          </w:p>
        </w:tc>
        <w:tc>
          <w:tcPr>
            <w:tcW w:type="dxa" w:w="234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34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34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Exitoso (0% pérdida)</w:t>
            </w:r>
          </w:p>
        </w:tc>
      </w:tr>
      <w:tr>
        <w:tc>
          <w:tcPr>
            <w:tcW w:type="dxa" w:w="234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Engineering</w:t>
            </w:r>
          </w:p>
        </w:tc>
        <w:tc>
          <w:tcPr>
            <w:tcW w:type="dxa" w:w="234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34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34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Exitoso (0% pérdida)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Bdr>
          <w:top w:val="single" w:color="2E74B5" w:sz="6" w:space="1"/>
        </w:pBdr>
        <w:spacing w:after="60" w:before="200"/>
      </w:pPr>
      <w:r>
        <w:rPr>
          <w:rFonts w:ascii="Arial" w:cs="Arial" w:eastAsia="Arial" w:hAnsi="Arial"/>
          <w:b/>
          <w:bCs/>
          <w:color w:val="1F5C8B"/>
          <w:sz w:val="24"/>
          <w:szCs w:val="24"/>
        </w:rPr>
        <w:t xml:space="preserve">Resultado final</w:t>
      </w:r>
    </w:p>
    <w:p>
      <w:pPr>
        <w:spacing w:after="60" w:before="0"/>
      </w:pPr>
      <w:r>
        <w:rPr>
          <w:rFonts w:ascii="Arial" w:cs="Arial" w:eastAsia="Arial" w:hAnsi="Arial"/>
          <w:sz w:val="20"/>
          <w:szCs w:val="20"/>
        </w:rPr>
        <w:t xml:space="preserve">La actividad se completó satisfactoriamente. Todos los dispositivos (router, servidores y clientes) fueron configurados con direccionamiento IPv6 correctamente. Las pruebas de ping al ISP desde los cuatro clientes fueron exitosas, confirmando la plena conectividad de la red. Packet Tracer mostró el mensaje: "Felicitaciones. Ha finalizado esta actividad."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2026-05-30T04:43:58.768Z</dcterms:created>
  <dcterms:modified xsi:type="dcterms:W3CDTF">2026-05-30T04:43:58.781Z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