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Instituto Tecnológico de Estudios Superiores de Monterrey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Campus Toluca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404040"/>
          <w:sz w:val="22"/>
          <w:szCs w:val="22"/>
        </w:rPr>
        <w:t>Interconexión de Dispositivos  |  Grupo 301</w:t>
      </w:r>
    </w:p>
    <w:p>
      <w:pPr>
        <w:pStyle w:val="Normal"/>
        <w:spacing w:before="0" w:after="320"/>
        <w:jc w:val="center"/>
        <w:rPr/>
      </w:pPr>
      <w:r>
        <w:rPr>
          <w:rFonts w:eastAsia="Arial" w:cs="Arial"/>
          <w:b/>
          <w:bCs/>
          <w:color w:val="1F3864"/>
          <w:sz w:val="34"/>
          <w:szCs w:val="34"/>
        </w:rPr>
        <w:t>4.7.2 – Packet Tracer: Conectar la Capa Física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880"/>
        <w:gridCol w:w="6479"/>
      </w:tblGrid>
      <w:tr>
        <w:trPr/>
        <w:tc>
          <w:tcPr>
            <w:tcW w:w="288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Profesores</w:t>
            </w:r>
          </w:p>
        </w:tc>
        <w:tc>
          <w:tcPr>
            <w:tcW w:w="6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Yerly Flores Garcia</w:t>
            </w:r>
          </w:p>
        </w:tc>
      </w:tr>
      <w:tr>
        <w:trPr/>
        <w:tc>
          <w:tcPr>
            <w:tcW w:w="2880" w:type="dxa"/>
            <w:vMerge w:val="continue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José María Aguilera Méndez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Alumna</w:t>
            </w:r>
          </w:p>
        </w:tc>
        <w:tc>
          <w:tcPr>
            <w:tcW w:w="6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Ileana Tapia Castillo  –  A01773374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hd w:val="clear" w:fill="1F3864"/>
        <w:spacing w:before="200" w:after="120"/>
        <w:ind w:left="160" w:right="160"/>
        <w:rPr>
          <w:sz w:val="20"/>
          <w:szCs w:val="20"/>
        </w:rPr>
      </w:pPr>
      <w:r>
        <w:rPr>
          <w:rFonts w:eastAsia="Arial" w:cs="Arial"/>
          <w:b/>
          <w:bCs/>
          <w:color w:val="FFFFFF"/>
          <w:sz w:val="20"/>
          <w:szCs w:val="20"/>
        </w:rPr>
        <w:t>Parte 1: Análisis de las características físicas de los dispositivos de red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¿Cuáles son los puertos de administración que posee el router East?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El router dispone de puertos de consola (Console) y puertos auxiliares (AUX).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¿Cuántas y qué tipo de interfaces WAN y LAN presenta el router East?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Cuenta con un total de 4 interfaces físicas: 2 interfaces GigabitEthernet y 2 interfaces de tipo Serial.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¿Cuál es la velocidad nominal (ancho de banda) para la interfaz GigabitEthernet0/0?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La capacidad p</w:t>
      </w:r>
      <w:r>
        <w:rPr>
          <w:rFonts w:eastAsia="Arial" w:cs="Arial"/>
          <w:sz w:val="20"/>
          <w:szCs w:val="20"/>
        </w:rPr>
        <w:softHyphen/>
      </w:r>
      <w:r>
        <w:rPr>
          <w:rFonts w:eastAsia="Arial" w:cs="Arial"/>
          <w:sz w:val="20"/>
          <w:szCs w:val="20"/>
        </w:rPr>
        <w:t>redeterminada es de 1,000,000 Kbit/s.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¿Qué ancho de banda predeterminado tiene la interfaz serial 0/0/0?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El ancho de banda configurado por defecto es de 1,544 Kbit/s.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¿Cuántas ranuras para módulos de expansión tiene el router East y el Switch2?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Ambos dispositivos, tanto el router East como el Switch2, cuentan con una única ranura de expansión disponible.</w:t>
      </w:r>
    </w:p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fill="1F3864"/>
        <w:spacing w:before="200" w:after="120"/>
        <w:ind w:left="160" w:right="160"/>
        <w:rPr>
          <w:sz w:val="20"/>
          <w:szCs w:val="20"/>
        </w:rPr>
      </w:pPr>
      <w:r>
        <w:rPr>
          <w:rFonts w:eastAsia="Arial" w:cs="Arial"/>
          <w:b/>
          <w:bCs/>
          <w:color w:val="FFFFFF"/>
          <w:sz w:val="20"/>
          <w:szCs w:val="20"/>
        </w:rPr>
        <w:t>Parte 2: Selección e instalación de módulos de conectividad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Si se requiere conectar las PC 1, 2 y 3 al router East sin añadir un switch adicional, ¿qué módulo es necesario instalar?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Se debe utilizar el módulo HWIC-4ESW.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¿Qué capacidad de conexión ofrece este módulo para dispositivos finales?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Permite conectar un máximo de 4 hosts al router.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Para habilitar una conexión óptica Gigabit hacia el Switch3 desde el Switch2, ¿qué módulo debe seleccionarse?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Se debe insertar el módulo PT-SWITCH-NM-1FGE.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¿Cuál es el requisito indispensable antes de instalar o retirar módulos en los equipos Cisco?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Es obligatorio apagar el dispositivo mediante su interruptor de alimentación, ya que los componentes no son intercambiables en caliente.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Al verificar mediante comandos en el Switch2, ¿en qué ranura se instaló el módulo?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El módulo fue colocado en la ranura 5 (Slot 5).</w:t>
      </w:r>
    </w:p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fill="1F3864"/>
        <w:spacing w:before="200" w:after="120"/>
        <w:ind w:left="160" w:right="160"/>
        <w:rPr>
          <w:sz w:val="20"/>
          <w:szCs w:val="20"/>
        </w:rPr>
      </w:pPr>
      <w:r>
        <w:rPr>
          <w:rFonts w:eastAsia="Arial" w:cs="Arial"/>
          <w:b/>
          <w:bCs/>
          <w:color w:val="FFFFFF"/>
          <w:sz w:val="20"/>
          <w:szCs w:val="20"/>
        </w:rPr>
        <w:t>Parte 3: Conexión de dispositivos</w:t>
      </w:r>
    </w:p>
    <w:p>
      <w:pPr>
        <w:pStyle w:val="Normal"/>
        <w:spacing w:before="120" w:after="100"/>
        <w:rPr>
          <w:sz w:val="20"/>
          <w:szCs w:val="20"/>
        </w:rPr>
      </w:pPr>
      <w:r>
        <w:rPr>
          <w:rFonts w:eastAsia="Arial" w:cs="Arial"/>
          <w:b/>
          <w:bCs/>
          <w:color w:val="1F3864"/>
          <w:sz w:val="20"/>
          <w:szCs w:val="20"/>
        </w:rPr>
        <w:t>Tabla de conexiones realizadas en Packet Tracer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99"/>
        <w:gridCol w:w="1901"/>
        <w:gridCol w:w="2160"/>
        <w:gridCol w:w="1800"/>
        <w:gridCol w:w="1700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Dispositivo A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Interfaz A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de cable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Dispositivo B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Interfaz B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East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GigabitEthernet0/0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GigabitEthernet0/1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East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GigabitEthernet0/1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GigabitEthernet0/1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East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FastEthernet0/1/0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East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FastEthernet0/1/1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East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FastEthernet0/1/2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Switch1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Switch1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PC5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Switch1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PC6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Switch4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GigabitEthernet0/2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cruzado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GigabitEthernet3/1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Switch3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GigabitEthernet5/1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Fibra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GigabitEthernet5/1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Switch2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Switch2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FastEthernet1/1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PC8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Switch2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FastEthernet2/1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PC9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FastEthernet0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Switch2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Gigabit3/1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Cobre directo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AccessPoint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Port 0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East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Serial0/0/0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Serial DCE (East primero)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West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Serial0/0/0</w:t>
            </w:r>
          </w:p>
        </w:tc>
      </w:tr>
    </w:tbl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fill="1F3864"/>
        <w:spacing w:before="200" w:after="120"/>
        <w:ind w:left="160" w:right="160"/>
        <w:rPr>
          <w:sz w:val="20"/>
          <w:szCs w:val="20"/>
        </w:rPr>
      </w:pPr>
      <w:r>
        <w:rPr>
          <w:rFonts w:eastAsia="Arial" w:cs="Arial"/>
          <w:b/>
          <w:bCs/>
          <w:color w:val="FFFFFF"/>
          <w:sz w:val="20"/>
          <w:szCs w:val="20"/>
        </w:rPr>
        <w:t>Parte 4: Verificación y pruebas de conectividad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¿Qué método debe seguirse para activar la comunicación inalámbrica en los dispositivos portátiles y TabletPC?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Se debe acceder a la pestaña "Config", seleccionar la interfaz "Wireless0" y activar la casilla de estado "On".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¿Qué acción es necesaria para verificar que existe conectividad web en los dispositivos?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Se debe abrir el navegador web desde el escritorio del equipo, ingresar la dirección www.cisco.pka y confirmar que se despliega la página de Packet Tracer.</w:t>
      </w:r>
    </w:p>
    <w:p>
      <w:pPr>
        <w:pStyle w:val="Normal"/>
        <w:pBdr>
          <w:left w:val="single" w:sz="12" w:space="8" w:color="2E75B6"/>
        </w:pBdr>
        <w:spacing w:before="140" w:after="60"/>
        <w:ind w:left="180"/>
        <w:rPr>
          <w:sz w:val="20"/>
          <w:szCs w:val="20"/>
        </w:rPr>
      </w:pPr>
      <w:r>
        <w:rPr>
          <w:rFonts w:eastAsia="Arial" w:cs="Arial"/>
          <w:b/>
          <w:bCs/>
          <w:color w:val="2E4057"/>
          <w:sz w:val="20"/>
          <w:szCs w:val="20"/>
        </w:rPr>
        <w:t>¿Qué precaución se debe tener al configurar las interfaces de red en la TabletPC?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Es importante no mantener activas simultáneamente la interfaz inalámbrica y la celular (3G/4G), ya que esto puede generar conflictos en la conexión del dispositivo a los recursos de red.</w:t>
      </w:r>
    </w:p>
    <w:p>
      <w:pPr>
        <w:pStyle w:val="Normal"/>
        <w:spacing w:before="0" w:after="30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top w:val="single" w:sz="6" w:space="1" w:color="2E75B6"/>
        </w:pBdr>
        <w:spacing w:before="200" w:after="0"/>
        <w:jc w:val="center"/>
        <w:rPr>
          <w:sz w:val="20"/>
          <w:szCs w:val="20"/>
        </w:rPr>
      </w:pPr>
      <w:r>
        <w:rPr>
          <w:rFonts w:eastAsia="Arial" w:cs="Arial"/>
          <w:color w:val="888888"/>
          <w:sz w:val="20"/>
          <w:szCs w:val="20"/>
        </w:rPr>
        <w:t>4.7.2 – Packet Tracer: Conectar la Capa Física  |  Interconexión de Dispositivos Gpo 301  |  ITESM Campus Toluca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3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560</Words>
  <Characters>3319</Characters>
  <CharactersWithSpaces>3769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2026-05-22T23:59:58Z</dcterms:created>
  <dc:creator>Un-named</dc:creator>
  <dc:description/>
  <dc:language>en-US</dc:language>
  <cp:lastModifiedBy/>
  <dcterms:modified xsi:type="dcterms:W3CDTF">2026-05-22T18:00:55Z</dcterms:modified>
  <cp:revision>2</cp:revision>
  <dc:subject/>
  <dc:title/>
</cp:coreProperties>
</file>