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Gerardo Daniel Naranjo Gallegos, A01209499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Profesor: Agustín Domínguez Oviedo.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Curso de microcontroladores.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ITESM, campus Querétaro.</w:t>
      </w:r>
    </w:p>
    <w:p w:rsidR="00AA59EF" w:rsidRPr="00AA59EF" w:rsidRDefault="004F5259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21 de abril de 2016</w:t>
      </w:r>
      <w:r w:rsidR="00AA59EF" w:rsidRPr="00AA59EF"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</w:p>
    <w:p w:rsidR="00AA59EF" w:rsidRPr="00AA59EF" w:rsidRDefault="00AA59EF" w:rsidP="00AA59EF">
      <w:pPr>
        <w:jc w:val="center"/>
        <w:rPr>
          <w:rFonts w:eastAsia="Times New Roman" w:cs="Times New Roman"/>
          <w:b/>
        </w:rPr>
      </w:pPr>
      <w:r w:rsidRPr="00AA59EF">
        <w:rPr>
          <w:rFonts w:eastAsia="Times New Roman" w:cs="Times New Roman"/>
          <w:b/>
        </w:rPr>
        <w:t xml:space="preserve">Tarea </w:t>
      </w:r>
      <w:r w:rsidR="004F5259">
        <w:rPr>
          <w:rFonts w:eastAsia="Times New Roman" w:cs="Times New Roman"/>
          <w:b/>
        </w:rPr>
        <w:t>12</w:t>
      </w:r>
      <w:r w:rsidRPr="00AA59EF">
        <w:rPr>
          <w:rFonts w:eastAsia="Times New Roman" w:cs="Times New Roman"/>
          <w:b/>
        </w:rPr>
        <w:t xml:space="preserve">: </w:t>
      </w:r>
      <w:r w:rsidR="00626163">
        <w:rPr>
          <w:rFonts w:eastAsia="Times New Roman" w:cs="Times New Roman"/>
          <w:b/>
        </w:rPr>
        <w:t xml:space="preserve">Corrección de errores del </w:t>
      </w:r>
      <w:r w:rsidR="004F5259">
        <w:rPr>
          <w:rFonts w:eastAsia="Times New Roman" w:cs="Times New Roman"/>
          <w:b/>
        </w:rPr>
        <w:t>segundo</w:t>
      </w:r>
      <w:r w:rsidR="00626163">
        <w:rPr>
          <w:rFonts w:eastAsia="Times New Roman" w:cs="Times New Roman"/>
          <w:b/>
        </w:rPr>
        <w:t xml:space="preserve"> examen parcial</w:t>
      </w:r>
      <w:r w:rsidRPr="00AA59EF">
        <w:rPr>
          <w:rFonts w:eastAsia="Times New Roman" w:cs="Times New Roman"/>
          <w:b/>
        </w:rPr>
        <w:t>.</w:t>
      </w:r>
    </w:p>
    <w:p w:rsidR="00AA59EF" w:rsidRPr="00AA59EF" w:rsidRDefault="00AA59EF" w:rsidP="00AA59EF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</w:pPr>
      <w:r w:rsidRPr="00AA59EF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>Instrucciones:</w:t>
      </w:r>
    </w:p>
    <w:p w:rsidR="00AA59EF" w:rsidRDefault="00626163" w:rsidP="00626163">
      <w:r w:rsidRPr="00626163">
        <w:t xml:space="preserve">Solución del examen </w:t>
      </w:r>
      <w:r w:rsidR="004F5259">
        <w:t>del segundo</w:t>
      </w:r>
      <w:r w:rsidRPr="00626163">
        <w:t xml:space="preserve"> </w:t>
      </w:r>
      <w:r w:rsidR="004F5259">
        <w:t>parcial: r</w:t>
      </w:r>
      <w:r w:rsidR="004F5259" w:rsidRPr="004F5259">
        <w:t>esolver todos lo que hayas perdido en el examen del 2º parcial.</w:t>
      </w:r>
      <w:r w:rsidRPr="00626163">
        <w:t xml:space="preserve"> Entrega en Dropbox.</w:t>
      </w:r>
    </w:p>
    <w:p w:rsidR="00626163" w:rsidRDefault="00626163" w:rsidP="00626163">
      <w:pPr>
        <w:pStyle w:val="Ttulo1"/>
      </w:pPr>
      <w:r>
        <w:t>Desarrollo:</w:t>
      </w:r>
    </w:p>
    <w:p w:rsidR="004F5259" w:rsidRDefault="00626163" w:rsidP="00626163">
      <w:pPr>
        <w:pStyle w:val="Subttulo"/>
        <w:rPr>
          <w:b/>
          <w:sz w:val="24"/>
        </w:rPr>
      </w:pPr>
      <w:r w:rsidRPr="00626163">
        <w:rPr>
          <w:b/>
          <w:sz w:val="24"/>
        </w:rPr>
        <w:t>Parte 3</w:t>
      </w:r>
      <w:r w:rsidR="000C7E40">
        <w:rPr>
          <w:b/>
          <w:sz w:val="24"/>
        </w:rPr>
        <w:t xml:space="preserve">: </w:t>
      </w:r>
    </w:p>
    <w:p w:rsidR="00626163" w:rsidRPr="00626163" w:rsidRDefault="004F5259" w:rsidP="004F5259">
      <w:pPr>
        <w:pStyle w:val="Subttulo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Llenar la tabla de los valores de las variables que se indican en el lugar donde se encuentra la flecha</w:t>
      </w:r>
      <w:r w:rsidR="000C7E40">
        <w:rPr>
          <w:b/>
          <w:sz w:val="24"/>
        </w:rPr>
        <w:t>.</w:t>
      </w:r>
      <w:r>
        <w:rPr>
          <w:b/>
          <w:sz w:val="24"/>
        </w:rPr>
        <w:t xml:space="preserve"> Nótese que para cada caso dependerá de la frecuencia de entrada en PD5. Dar los valores ya sea en decimal o hexadecimal (indicar la base).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F5259" w:rsidTr="004F5259"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Frecuencia de entrada en PD5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THH1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TCNT1H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TCNT1L</w:t>
            </w:r>
          </w:p>
        </w:tc>
      </w:tr>
      <w:tr w:rsidR="004F5259" w:rsidTr="004F5259"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1,000,000</w:t>
            </w:r>
            <w:r w:rsidR="00BC3ECC">
              <w:t xml:space="preserve"> d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15.26=15 d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42 h</w:t>
            </w:r>
          </w:p>
        </w:tc>
        <w:tc>
          <w:tcPr>
            <w:tcW w:w="2207" w:type="dxa"/>
          </w:tcPr>
          <w:p w:rsidR="004F5259" w:rsidRDefault="004F5259" w:rsidP="00BC3ECC">
            <w:pPr>
              <w:jc w:val="center"/>
            </w:pPr>
            <w:r>
              <w:t>40 h</w:t>
            </w:r>
          </w:p>
        </w:tc>
      </w:tr>
    </w:tbl>
    <w:p w:rsidR="004F5259" w:rsidRDefault="004F5259" w:rsidP="004F5259"/>
    <w:p w:rsidR="004F5259" w:rsidRDefault="00626163" w:rsidP="00626163">
      <w:pPr>
        <w:pStyle w:val="Subttulo"/>
        <w:rPr>
          <w:b/>
          <w:sz w:val="24"/>
        </w:rPr>
      </w:pPr>
      <w:r w:rsidRPr="00626163">
        <w:rPr>
          <w:b/>
          <w:sz w:val="24"/>
        </w:rPr>
        <w:t xml:space="preserve">Parte </w:t>
      </w:r>
      <w:r w:rsidR="004F5259">
        <w:rPr>
          <w:b/>
          <w:sz w:val="24"/>
        </w:rPr>
        <w:t>4</w:t>
      </w:r>
      <w:r w:rsidRPr="00626163">
        <w:rPr>
          <w:b/>
          <w:sz w:val="24"/>
        </w:rPr>
        <w:t>:</w:t>
      </w:r>
      <w:r w:rsidR="000C7E40">
        <w:rPr>
          <w:b/>
          <w:sz w:val="24"/>
        </w:rPr>
        <w:t xml:space="preserve"> </w:t>
      </w:r>
    </w:p>
    <w:p w:rsidR="00626163" w:rsidRPr="00626163" w:rsidRDefault="004F5259" w:rsidP="004F5259">
      <w:pPr>
        <w:pStyle w:val="Subttulo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¿Qué frecuencia tienen las señales etiquetadas como “ONDA0” y “ONDA1”? Muestre el procedimiento para obtener estos números (resultados sin procedimiento no se calificarán)</w:t>
      </w:r>
    </w:p>
    <w:p w:rsidR="0024445B" w:rsidRDefault="0024445B" w:rsidP="0024445B">
      <w:pPr>
        <w:rPr>
          <w:rFonts w:eastAsiaTheme="minorEastAsia"/>
        </w:rPr>
      </w:pPr>
      <w:r>
        <w:t xml:space="preserve">Debido al código podemos saber que ONDA0 cuenta con un </w:t>
      </w:r>
      <m:oMath>
        <m:r>
          <w:rPr>
            <w:rFonts w:ascii="Cambria Math" w:hAnsi="Cambria Math"/>
          </w:rPr>
          <m:t>CK/8</m:t>
        </m:r>
      </m:oMath>
      <w:r>
        <w:t xml:space="preserve"> y que </w:t>
      </w:r>
      <m:oMath>
        <m:r>
          <w:rPr>
            <w:rFonts w:ascii="Cambria Math" w:hAnsi="Cambria Math"/>
          </w:rPr>
          <m:t>OCR0A=100</m:t>
        </m:r>
      </m:oMath>
      <w:r>
        <w:rPr>
          <w:rFonts w:eastAsiaTheme="minorEastAsia"/>
        </w:rPr>
        <w:t xml:space="preserve">. Derivado de la siguiente fórmula </w:t>
      </w:r>
      <m:oMath>
        <m:r>
          <w:rPr>
            <w:rFonts w:ascii="Cambria Math" w:eastAsiaTheme="minorEastAsia" w:hAnsi="Cambria Math"/>
          </w:rPr>
          <m:t>OCR0A+1=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(1/2f)/(1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CK</m:t>
            </m:r>
          </m:den>
        </m:f>
      </m:oMath>
      <w:r>
        <w:rPr>
          <w:rFonts w:eastAsiaTheme="minorEastAsia"/>
        </w:rPr>
        <w:t xml:space="preserve">, podemos despejar y obtener que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OCR0A+1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CK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d>
          </m:den>
        </m:f>
        <m:r>
          <w:rPr>
            <w:rFonts w:ascii="Cambria Math" w:eastAsiaTheme="minorEastAsia" w:hAnsi="Cambria Math"/>
          </w:rPr>
          <m:t>=618.812 Hz</m:t>
        </m:r>
      </m:oMath>
      <w:r>
        <w:rPr>
          <w:rFonts w:eastAsiaTheme="minorEastAsia"/>
        </w:rPr>
        <w:t>.</w:t>
      </w:r>
    </w:p>
    <w:p w:rsidR="0024445B" w:rsidRDefault="0024445B" w:rsidP="0024445B">
      <w:pPr>
        <w:rPr>
          <w:rFonts w:eastAsiaTheme="minorEastAsia"/>
        </w:rPr>
      </w:pPr>
      <w:r>
        <w:rPr>
          <w:rFonts w:eastAsiaTheme="minorEastAsia"/>
        </w:rPr>
        <w:lastRenderedPageBreak/>
        <w:t>De la misma manera, para ONDA1</w:t>
      </w:r>
      <w:r w:rsidR="000F2B8F">
        <w:rPr>
          <w:rFonts w:eastAsiaTheme="minorEastAsia"/>
        </w:rPr>
        <w:t xml:space="preserve">, con un </w:t>
      </w:r>
      <m:oMath>
        <m:r>
          <w:rPr>
            <w:rFonts w:ascii="Cambria Math" w:eastAsiaTheme="minorEastAsia" w:hAnsi="Cambria Math"/>
          </w:rPr>
          <m:t>CK=1</m:t>
        </m:r>
      </m:oMath>
      <w:r w:rsidR="000F2B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OCR0A=799</m:t>
        </m:r>
      </m:oMath>
      <w:r w:rsidR="000F2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tendremos entonces que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799+1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</w:rPr>
          <m:t>=625 Hz</m:t>
        </m:r>
      </m:oMath>
      <w:r w:rsidR="000F2B8F">
        <w:rPr>
          <w:rFonts w:eastAsiaTheme="minorEastAsia"/>
        </w:rPr>
        <w:t>.</w:t>
      </w:r>
    </w:p>
    <w:p w:rsidR="000F2B8F" w:rsidRDefault="000F2B8F" w:rsidP="000F2B8F">
      <w:pPr>
        <w:pStyle w:val="Subttulo"/>
        <w:numPr>
          <w:ilvl w:val="0"/>
          <w:numId w:val="5"/>
        </w:numPr>
        <w:rPr>
          <w:b/>
          <w:sz w:val="24"/>
        </w:rPr>
      </w:pPr>
      <w:r w:rsidRPr="000F2B8F">
        <w:rPr>
          <w:b/>
          <w:sz w:val="24"/>
        </w:rPr>
        <w:t xml:space="preserve">Modifique </w:t>
      </w:r>
      <w:r>
        <w:rPr>
          <w:b/>
          <w:sz w:val="24"/>
        </w:rPr>
        <w:t>el programa para generar en la señal denominada como ONDA0 una señal cuadrada de 25Hz DC=50% y en ONDA1 una señal de 2000Hz DC=50%. Se podrá tachar el programa de arriba para hacer las modificaciones pertinentes.</w:t>
      </w:r>
    </w:p>
    <w:p w:rsidR="00143CE6" w:rsidRDefault="00143CE6" w:rsidP="00143CE6">
      <w:r>
        <w:t>Primero hacemos los cálculos:</w:t>
      </w:r>
    </w:p>
    <w:p w:rsidR="000F2B8F" w:rsidRPr="00143CE6" w:rsidRDefault="000F2B8F" w:rsidP="00143CE6">
      <w:pPr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OCR0A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2f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CK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-1=78.125-1≈78-1=7</m:t>
          </m:r>
          <m:r>
            <w:rPr>
              <w:rFonts w:ascii="Cambria Math" w:hAnsi="Cambria Math"/>
            </w:rPr>
            <m:t>7</m:t>
          </m:r>
        </m:oMath>
      </m:oMathPara>
    </w:p>
    <w:p w:rsidR="00143CE6" w:rsidRPr="00143CE6" w:rsidRDefault="00143CE6" w:rsidP="00143CE6">
      <w:pPr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OCR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2f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CK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000</m:t>
                          </m:r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250</m:t>
          </m:r>
          <m:r>
            <w:rPr>
              <w:rFonts w:ascii="Cambria Math" w:hAnsi="Cambria Math"/>
            </w:rPr>
            <m:t>-1=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9</m:t>
          </m:r>
        </m:oMath>
      </m:oMathPara>
    </w:p>
    <w:p w:rsidR="00143CE6" w:rsidRDefault="00143CE6" w:rsidP="00143CE6">
      <w:r>
        <w:t>Después sobrescribimos el código con lo siguiente:</w:t>
      </w:r>
    </w:p>
    <w:p w:rsidR="00143CE6" w:rsidRDefault="00143CE6" w:rsidP="00143CE6">
      <w:pPr>
        <w:spacing w:line="240" w:lineRule="auto"/>
        <w:contextualSpacing/>
      </w:pPr>
      <w:r>
        <w:tab/>
        <w:t>TCCR0B=0x04;</w:t>
      </w:r>
    </w:p>
    <w:p w:rsidR="00143CE6" w:rsidRDefault="00143CE6" w:rsidP="00143CE6">
      <w:pPr>
        <w:spacing w:line="240" w:lineRule="auto"/>
        <w:contextualSpacing/>
      </w:pPr>
      <w:r>
        <w:tab/>
        <w:t>OCR0A=77;</w:t>
      </w:r>
    </w:p>
    <w:p w:rsidR="00143CE6" w:rsidRDefault="00143CE6" w:rsidP="00143CE6">
      <w:pPr>
        <w:spacing w:line="240" w:lineRule="auto"/>
        <w:contextualSpacing/>
      </w:pPr>
      <w:r>
        <w:tab/>
        <w:t>OCR1AH=249/256;</w:t>
      </w:r>
    </w:p>
    <w:p w:rsidR="00143CE6" w:rsidRPr="00143CE6" w:rsidRDefault="00143CE6" w:rsidP="00143CE6">
      <w:pPr>
        <w:spacing w:line="240" w:lineRule="auto"/>
        <w:contextualSpacing/>
      </w:pPr>
      <w:r>
        <w:tab/>
        <w:t>OCR1A</w:t>
      </w:r>
      <w:r>
        <w:t>L</w:t>
      </w:r>
      <w:r>
        <w:t>=249</w:t>
      </w:r>
      <w:r>
        <w:t>%</w:t>
      </w:r>
      <w:r>
        <w:t>256;</w:t>
      </w:r>
      <w:bookmarkStart w:id="0" w:name="_GoBack"/>
      <w:bookmarkEnd w:id="0"/>
    </w:p>
    <w:sectPr w:rsidR="00143CE6" w:rsidRPr="00143CE6" w:rsidSect="000F2B8F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E7" w:rsidRDefault="00B87FE7" w:rsidP="00D92390">
      <w:pPr>
        <w:spacing w:after="0" w:line="240" w:lineRule="auto"/>
      </w:pPr>
      <w:r>
        <w:separator/>
      </w:r>
    </w:p>
  </w:endnote>
  <w:endnote w:type="continuationSeparator" w:id="0">
    <w:p w:rsidR="00B87FE7" w:rsidRDefault="00B87FE7" w:rsidP="00D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4001"/>
      <w:docPartObj>
        <w:docPartGallery w:val="Page Numbers (Bottom of Page)"/>
        <w:docPartUnique/>
      </w:docPartObj>
    </w:sdtPr>
    <w:sdtContent>
      <w:p w:rsidR="000F2B8F" w:rsidRDefault="000F2B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ECC" w:rsidRPr="00BC3ECC">
          <w:rPr>
            <w:noProof/>
            <w:lang w:val="es-ES"/>
          </w:rPr>
          <w:t>2</w:t>
        </w:r>
        <w:r>
          <w:fldChar w:fldCharType="end"/>
        </w:r>
      </w:p>
    </w:sdtContent>
  </w:sdt>
  <w:p w:rsidR="000F2B8F" w:rsidRDefault="000F2B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E7" w:rsidRDefault="00B87FE7" w:rsidP="00D92390">
      <w:pPr>
        <w:spacing w:after="0" w:line="240" w:lineRule="auto"/>
      </w:pPr>
      <w:r>
        <w:separator/>
      </w:r>
    </w:p>
  </w:footnote>
  <w:footnote w:type="continuationSeparator" w:id="0">
    <w:p w:rsidR="00B87FE7" w:rsidRDefault="00B87FE7" w:rsidP="00D9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075C0"/>
    <w:multiLevelType w:val="hybridMultilevel"/>
    <w:tmpl w:val="528C4D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434"/>
    <w:multiLevelType w:val="hybridMultilevel"/>
    <w:tmpl w:val="937C8458"/>
    <w:lvl w:ilvl="0" w:tplc="EE721C9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5ED3"/>
    <w:multiLevelType w:val="hybridMultilevel"/>
    <w:tmpl w:val="807C93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A7EEB"/>
    <w:multiLevelType w:val="hybridMultilevel"/>
    <w:tmpl w:val="831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7C24"/>
    <w:multiLevelType w:val="hybridMultilevel"/>
    <w:tmpl w:val="AE76535E"/>
    <w:lvl w:ilvl="0" w:tplc="0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F"/>
    <w:rsid w:val="000C7E40"/>
    <w:rsid w:val="000F2B8F"/>
    <w:rsid w:val="0010367D"/>
    <w:rsid w:val="00143CE6"/>
    <w:rsid w:val="0024445B"/>
    <w:rsid w:val="00276E4B"/>
    <w:rsid w:val="002E38B2"/>
    <w:rsid w:val="00400C7C"/>
    <w:rsid w:val="004C4118"/>
    <w:rsid w:val="004F5259"/>
    <w:rsid w:val="00536E0C"/>
    <w:rsid w:val="0056483B"/>
    <w:rsid w:val="00626163"/>
    <w:rsid w:val="009869D0"/>
    <w:rsid w:val="00AA59EF"/>
    <w:rsid w:val="00AF5D66"/>
    <w:rsid w:val="00B4598B"/>
    <w:rsid w:val="00B87FE7"/>
    <w:rsid w:val="00BC3ECC"/>
    <w:rsid w:val="00D92390"/>
    <w:rsid w:val="00E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4E10"/>
  <w15:chartTrackingRefBased/>
  <w15:docId w15:val="{888B7CFE-8977-4734-9B5C-3C57E0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59E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9E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A59EF"/>
    <w:rPr>
      <w:rFonts w:eastAsia="Times New Roman" w:cs="Times New Roman"/>
    </w:rPr>
  </w:style>
  <w:style w:type="paragraph" w:styleId="Prrafodelista">
    <w:name w:val="List Paragraph"/>
    <w:basedOn w:val="Normal"/>
    <w:uiPriority w:val="34"/>
    <w:qFormat/>
    <w:rsid w:val="00AA59EF"/>
    <w:pPr>
      <w:ind w:left="720"/>
      <w:contextualSpacing/>
    </w:pPr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9E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59EF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90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4F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4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EC"/>
    <w:rsid w:val="0028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0B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7</cp:revision>
  <dcterms:created xsi:type="dcterms:W3CDTF">2016-04-21T16:19:00Z</dcterms:created>
  <dcterms:modified xsi:type="dcterms:W3CDTF">2016-04-21T16:56:00Z</dcterms:modified>
</cp:coreProperties>
</file>