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Адаптация сети социальной инфраструктуры</w:t>
        <w:br/>
        <w:t>к сокращению населения</w:t>
      </w:r>
    </w:p>
    <w:p>
      <w:pPr>
        <w:jc w:val="center"/>
      </w:pPr>
      <w:r>
        <w:rPr>
          <w:sz w:val="28"/>
        </w:rPr>
        <w:t>ГИС-анализ пешеходной доступности в Каменске-Уральском</w:t>
      </w:r>
    </w:p>
    <w:p/>
    <w:p/>
    <w:p/>
    <w:p/>
    <w:p/>
    <w:p/>
    <w:p>
      <w:pPr>
        <w:ind w:firstLine="0"/>
        <w:jc w:val="center"/>
      </w:pPr>
      <w:r>
        <w:t>Аналитическая записка</w:t>
      </w:r>
    </w:p>
    <w:p>
      <w:pPr>
        <w:ind w:firstLine="0"/>
        <w:jc w:val="center"/>
      </w:pPr>
    </w:p>
    <w:p>
      <w:pPr>
        <w:ind w:firstLine="0"/>
        <w:jc w:val="center"/>
      </w:pPr>
      <w:r>
        <w:t>Максим Сачков, 11 класс, МАОУ СОШ №123, Екатеринбург</w:t>
      </w:r>
    </w:p>
    <w:p>
      <w:pPr>
        <w:ind w:firstLine="0"/>
        <w:jc w:val="center"/>
      </w:pPr>
    </w:p>
    <w:p>
      <w:pPr>
        <w:ind w:firstLine="0"/>
        <w:jc w:val="center"/>
      </w:pPr>
      <w:r>
        <w:t>github.com/Geraks7/kamensk-accessibility</w:t>
      </w:r>
    </w:p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Резюме</w:t>
      </w:r>
    </w:p>
    <w:p>
      <w:pPr>
        <w:spacing w:after="0"/>
      </w:pPr>
      <w:r>
        <w:t>В работе оценивается, насколько сеть социальной инфраструктуры Каменска-Уральского соответствует расселению жителей и что с ней можно сделать при сокращении населения. Расчёт основан на пешеходном графе OpenStreetMap, жилой застройке и объектах, сверенных с муниципальными перечнями.</w:t>
      </w:r>
    </w:p>
    <w:p>
      <w:pPr>
        <w:spacing w:after="0"/>
      </w:pPr>
      <w:r>
        <w:t>В 15 минутах пешком от дома доступны: школа — для 74,9 % жилой застройки, детский сад — для 66,3 %, поликлиника — для 45,8 %. При этом 40 % жилья имеет рядом две и более школы, то есть избыточность и дефицит сосуществуют в разных частях города.</w:t>
      </w:r>
    </w:p>
    <w:p>
      <w:pPr>
        <w:spacing w:after="0"/>
      </w:pPr>
      <w:r>
        <w:t>Главный методический результат: нормативные радиусы, измеренные по прямой, завышают доступность в 1,5–4 раза. Если считать то же расстояние по улицам, покрытие школ падает с 72 % до 28 %, детсадов — с 59 % до 13 %, поликлиник — с 76 % до 41 %.</w:t>
      </w:r>
    </w:p>
    <w:p>
      <w:pPr>
        <w:spacing w:after="0"/>
      </w:pPr>
      <w:r>
        <w:t>Сценарный анализ показывает: при сохранении текущего покрытия можно перепрофилировать 12 школ, 33 детских сада и 10 поликлиник. Но даже при нулевой потере покрытия среднее время до объекта растёт — двоичный показатель «есть/нет» скрывает ухудшение.</w:t>
      </w:r>
    </w:p>
    <w:p>
      <w:pPr>
        <w:pStyle w:val="Heading1"/>
      </w:pPr>
      <w:r>
        <w:t>2. Постановка задачи</w:t>
      </w:r>
    </w:p>
    <w:p>
      <w:pPr>
        <w:spacing w:after="0"/>
      </w:pPr>
      <w:r>
        <w:t>Каменск-Уральский потерял около 23 % населения с 1989 года (207 780 → 160 312 человек по Росстату), но сеть социальных объектов осталась рассчитанной на большее число жителей. Решения о сокращении сети обычно принимаются по количеству объектов или общей численности населения, без проверки того, кого именно они оставят без услуги.</w:t>
      </w:r>
    </w:p>
    <w:p>
      <w:pPr>
        <w:spacing w:after="0"/>
      </w:pPr>
      <w:r>
        <w:t>Исследовательский вопрос: как изменение сети объектов влияет на пространственную доступность услуг и какие сценарии адаптации сохраняют её без существенных потерь?</w:t>
      </w:r>
    </w:p>
    <w:p>
      <w:pPr>
        <w:spacing w:after="0"/>
      </w:pPr>
      <w:r>
        <w:t>Гипотеза: сеть пространственно избыточна относительно текущего расселения — значимая часть объектов имеет перекрывающиеся зоны 15-минутной доступности, и сокращение таких объектов не выводит жилые территории за нормативный порог. При этом отдалённые территории остаются вне зоны доступности независимо от сценария.</w:t>
      </w:r>
    </w:p>
    <w:p>
      <w:pPr>
        <w:pStyle w:val="Heading1"/>
      </w:pPr>
      <w:r>
        <w:t>3. Данные</w:t>
      </w:r>
    </w:p>
    <w:p>
      <w:pPr>
        <w:spacing w:after="0"/>
      </w:pPr>
      <w:r>
        <w:t>Использованы открытые данные: пешеходный граф и жилая застройка OpenStreetMap (6 029 зданий, 8 167 узлов графа), муниципальные перечни школ и детских садов obr-ku.ru, перечень площадок ГАУЗ СО «Городская больница г. Каменск-Уральский», нормативы СП 42.13330. Всего в расчёте 134 объекта: 36 школ, 67 детских садов, 31 медицинское учреждение.</w:t>
      </w:r>
    </w:p>
    <w:p>
      <w:pPr>
        <w:spacing w:after="0"/>
      </w:pPr>
      <w:r>
        <w:t>Сверка с официальными перечнями дала расхождения: у школ совпало 27 из 29 номеров, у детсадов — 48 из 51. Из OSM удалены ложные объекты (танцевальная студия, художественная школа), недостающие объекты добавлены по адресам. По медицине проверены 7 площадок основного поставщика — все найдены в OSM.</w:t>
      </w:r>
    </w:p>
    <w:p>
      <w:pPr>
        <w:pStyle w:val="Heading1"/>
      </w:pPr>
      <w:r>
        <w:t>4. Метод</w:t>
      </w:r>
    </w:p>
    <w:p>
      <w:pPr>
        <w:pStyle w:val="ListBullet"/>
        <w:spacing w:line="312" w:lineRule="auto"/>
        <w:ind w:firstLine="0"/>
        <w:jc w:val="left"/>
      </w:pPr>
      <w:r>
        <w:t>Пешеходный граф проецируется в UTM 41N, объекты и жилые здания привязываются к ближайшим узлам.</w:t>
      </w:r>
    </w:p>
    <w:p>
      <w:pPr>
        <w:pStyle w:val="ListBullet"/>
        <w:spacing w:line="312" w:lineRule="auto"/>
        <w:ind w:firstLine="0"/>
        <w:jc w:val="left"/>
      </w:pPr>
      <w:r>
        <w:t>Для каждого типа объектов считается кратчайшее расстояние по сети до ближайшего объекта (один запуск Дейкстры от всех объектов сразу).</w:t>
      </w:r>
    </w:p>
    <w:p>
      <w:pPr>
        <w:pStyle w:val="ListBullet"/>
        <w:spacing w:line="312" w:lineRule="auto"/>
        <w:ind w:firstLine="0"/>
        <w:jc w:val="left"/>
      </w:pPr>
      <w:r>
        <w:t>Расстояние переводится во время при скорости 4,5 км/ч; проверяются также 4 и 5 км/ч и пороги 10, 15, 20 минут.</w:t>
      </w:r>
    </w:p>
    <w:p>
      <w:pPr>
        <w:pStyle w:val="ListBullet"/>
        <w:spacing w:line="312" w:lineRule="auto"/>
        <w:ind w:firstLine="0"/>
        <w:jc w:val="left"/>
      </w:pPr>
      <w:r>
        <w:t>Показатели: покрытие, индекс дублирования, разрыв «норматив — сеть».</w:t>
      </w:r>
    </w:p>
    <w:p>
      <w:pPr>
        <w:pStyle w:val="ListBullet"/>
        <w:spacing w:line="312" w:lineRule="auto"/>
        <w:ind w:firstLine="0"/>
        <w:jc w:val="left"/>
      </w:pPr>
      <w:r>
        <w:t>Сценарии: жадное удаление объектов, пока суммарная потеря покрытия не превысит бюджет (0, 1, 3 % жилой застройки), с ограничением не более половины сети на тип.</w:t>
      </w:r>
    </w:p>
    <w:p>
      <w:pPr>
        <w:spacing w:after="0"/>
      </w:pPr>
      <w:r>
        <w:t>Подробное описание модели, формул и допущений — в docs/METHOD.md репозитория.</w:t>
      </w:r>
    </w:p>
    <w:p>
      <w:pPr>
        <w:pStyle w:val="Heading1"/>
      </w:pPr>
      <w:r>
        <w:t>5. Результаты</w:t>
      </w:r>
    </w:p>
    <w:p>
      <w:pPr>
        <w:pStyle w:val="Heading2"/>
      </w:pPr>
      <w:r>
        <w:t>5.1. Покрытие</w:t>
      </w:r>
    </w:p>
    <w:p>
      <w:pPr>
        <w:keepNext/>
        <w:ind w:firstLine="0"/>
      </w:pPr>
      <w:r>
        <w:rPr>
          <w:sz w:val="20"/>
        </w:rPr>
        <w:t>Таблица 1 — Доля жилой застройки в зоне доступности при скорости 4,5 км/ч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701"/>
        <w:gridCol w:w="1701"/>
        <w:gridCol w:w="1701"/>
        <w:gridCol w:w="1928"/>
      </w:tblGrid>
      <w:tr>
        <w:trPr>
          <w:cantSplit/>
          <w:tblHeader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10 мин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15 мин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20 мин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Медиана, мин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Школы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47,9 %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74,9 %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90,0 %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7,6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Детские сады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48,6 %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66,3 %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80,1 %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6,2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Поликлиники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30,2 %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45,8 %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61,2 %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10,3</w:t>
            </w:r>
          </w:p>
        </w:tc>
      </w:tr>
    </w:tbl>
    <w:p>
      <w:pPr>
        <w:spacing w:after="0"/>
      </w:pPr>
    </w:p>
    <w:p>
      <w:pPr>
        <w:pStyle w:val="Heading2"/>
      </w:pPr>
      <w:r>
        <w:t>5.2. Дублирование</w:t>
      </w:r>
    </w:p>
    <w:p>
      <w:pPr>
        <w:keepNext/>
        <w:ind w:firstLine="0"/>
      </w:pPr>
      <w:r>
        <w:rPr>
          <w:sz w:val="20"/>
        </w:rPr>
        <w:t>Таблица 2 — Дублирование и дефицит по каждому типу объектов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154"/>
        <w:gridCol w:w="2041"/>
        <w:gridCol w:w="2041"/>
      </w:tblGrid>
      <w:tr>
        <w:trPr>
          <w:cantSplit/>
          <w:tblHeader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18"/>
              </w:rPr>
              <w:t>2+ объекта в 15 мин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8"/>
              </w:rPr>
              <w:t>Ни одного в 15 мин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Среднее число объектов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Школы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8"/>
              </w:rPr>
              <w:t>40,0 %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25,1 %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2,4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Детские сады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8"/>
              </w:rPr>
              <w:t>47,1 %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33,7 %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5,1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Поликлиники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8"/>
              </w:rPr>
              <w:t>34,9 %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54,2 %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sz w:val="18"/>
              </w:rPr>
              <w:t>2,1</w:t>
            </w:r>
          </w:p>
        </w:tc>
      </w:tr>
    </w:tbl>
    <w:p>
      <w:pPr>
        <w:spacing w:after="0"/>
      </w:pPr>
    </w:p>
    <w:p>
      <w:pPr>
        <w:spacing w:after="0"/>
      </w:pPr>
      <w:r>
        <w:t>Одновременное существование избыточности и дефицита — главный пространственный вывод: сеть сконцентрирована в одних районах и отсутствует в других.</w:t>
      </w:r>
    </w:p>
    <w:p>
      <w:pPr>
        <w:pStyle w:val="Heading2"/>
      </w:pPr>
      <w:r>
        <w:t>5.3. Норматив против сети</w:t>
      </w:r>
    </w:p>
    <w:p>
      <w:pPr>
        <w:keepNext/>
        <w:ind w:firstLine="0"/>
      </w:pPr>
      <w:r>
        <w:rPr>
          <w:sz w:val="20"/>
        </w:rPr>
        <w:t>Таблица 3 — Одно и то же расстояние, измеренное по прямой и по улично-дорожной сети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1701"/>
        <w:gridCol w:w="1701"/>
        <w:gridCol w:w="1587"/>
        <w:gridCol w:w="1928"/>
      </w:tblGrid>
      <w:tr>
        <w:trPr>
          <w:cantSplit/>
          <w:tblHeader/>
        </w:trPr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Радиус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 прямой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 сети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b/>
                <w:sz w:val="18"/>
              </w:rPr>
              <w:t>Разрыв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8"/>
              </w:rPr>
              <w:t>Школы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500 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71,5 %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28,2 %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-43,3 п.п.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8"/>
              </w:rPr>
              <w:t>Детские сады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300 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58,7 %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13,5 %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-45,3 п.п.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jc w:val="center"/>
            </w:pPr>
            <w:r/>
            <w:r>
              <w:rPr>
                <w:sz w:val="18"/>
              </w:rPr>
              <w:t>Поликлиники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1000 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76,4 %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41,1 %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sz w:val="18"/>
              </w:rPr>
              <w:t>-35,3 п.п.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837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verage_scho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37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1. Пешеходная доступность школ</w:t>
      </w:r>
    </w:p>
    <w:p>
      <w:pPr>
        <w:pStyle w:val="Heading2"/>
      </w:pPr>
      <w:r>
        <w:t>5.4. Сценарии сокращения сети</w:t>
      </w:r>
    </w:p>
    <w:p>
      <w:pPr>
        <w:keepNext/>
        <w:ind w:firstLine="0"/>
      </w:pPr>
      <w:r>
        <w:rPr>
          <w:sz w:val="20"/>
        </w:rPr>
        <w:t>Таблица 4 — Сценарии сокращения сети и их цена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814"/>
        <w:gridCol w:w="1474"/>
        <w:gridCol w:w="1701"/>
        <w:gridCol w:w="1304"/>
        <w:gridCol w:w="1304"/>
      </w:tblGrid>
      <w:tr>
        <w:trPr>
          <w:cantSplit/>
          <w:tblHeader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18"/>
              </w:rPr>
              <w:t>Убрано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Потеря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До, мин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b/>
                <w:sz w:val="18"/>
              </w:rPr>
              <w:t>После, мин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умеренный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Школы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12 из 36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0,00 п.п.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11,2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11,6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умеренный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Детсады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33 из 67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0,00 п.п.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12,5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13,2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умеренный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Поликлиники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10 из 31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0,00 п.п.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17,2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17,3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Школы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17 из 36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+0,61 п.п.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11,2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11,8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Детсады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33 из 67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0,00 п.п.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12,5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13,2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средний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Поликлиники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18"/>
              </w:rPr>
              <w:t>15 из 31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+0,40 п.п.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17,2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sz w:val="18"/>
              </w:rPr>
              <w:t>17,5</w:t>
            </w:r>
          </w:p>
        </w:tc>
      </w:tr>
    </w:tbl>
    <w:p>
      <w:pPr>
        <w:spacing w:after="0"/>
      </w:pPr>
    </w:p>
    <w:p>
      <w:pPr>
        <w:spacing w:after="0"/>
      </w:pPr>
      <w:r>
        <w:t>Ключевой эффект: при нулевой потере покрытия среднее время до объекта всё равно растёт. Значит, оценивать последствия только по показателю «есть/нет объект» недостаточно.</w:t>
      </w:r>
    </w:p>
    <w:p>
      <w:pPr>
        <w:pStyle w:val="Heading2"/>
      </w:pPr>
      <w:r>
        <w:t>5.5. Критичные объекты</w:t>
      </w:r>
    </w:p>
    <w:p>
      <w:pPr>
        <w:keepNext/>
        <w:ind w:firstLine="0"/>
      </w:pPr>
      <w:r>
        <w:rPr>
          <w:sz w:val="20"/>
        </w:rPr>
        <w:t>Таблица 5 — Объекты, при закрытии которых жильё теряет доступность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855"/>
        <w:gridCol w:w="1814"/>
        <w:gridCol w:w="1814"/>
      </w:tblGrid>
      <w:tr>
        <w:trPr>
          <w:cantSplit/>
          <w:tblHeader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b/>
                <w:sz w:val="18"/>
              </w:rPr>
              <w:t>Объект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Зданий без доступа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Доля жилья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Школа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sz w:val="18"/>
              </w:rPr>
              <w:t>Школа №32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656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10,9 %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Школа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sz w:val="18"/>
              </w:rPr>
              <w:t>Основная общеобразовательная школа № 39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462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7,7 %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Школа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sz w:val="18"/>
              </w:rPr>
              <w:t>Школа №51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204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3,4 %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Школа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sz w:val="18"/>
              </w:rPr>
              <w:t>Школа-интернат №27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176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2,9 %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Школа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sz w:val="18"/>
              </w:rPr>
              <w:t>Школа №14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165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2,7 %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jc w:val="center"/>
            </w:pPr>
            <w:r/>
            <w:r>
              <w:rPr>
                <w:sz w:val="18"/>
              </w:rPr>
              <w:t>Школа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sz w:val="18"/>
              </w:rPr>
              <w:t>Школа №13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118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sz w:val="18"/>
              </w:rPr>
              <w:t>2,0 %</w:t>
            </w:r>
          </w:p>
        </w:tc>
      </w:tr>
    </w:tbl>
    <w:p>
      <w:pPr>
        <w:spacing w:after="0"/>
      </w:pPr>
    </w:p>
    <w:p>
      <w:pPr>
        <w:spacing w:after="0"/>
      </w:pPr>
      <w:r>
        <w:t>Школа №39 в Монастырке попала в расчёт только после сверки: в OSM её не было, а без неё 7,7 % жилья оставалось без школы в 15 минутах.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8209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itical_ob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20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20"/>
        </w:rPr>
        <w:t>Рисунок 2. Критичные объекты</w:t>
      </w:r>
    </w:p>
    <w:p>
      <w:pPr>
        <w:pStyle w:val="Heading1"/>
      </w:pPr>
      <w:r>
        <w:t>6. Ограничения</w:t>
      </w:r>
    </w:p>
    <w:p>
      <w:pPr>
        <w:pStyle w:val="ListBullet"/>
        <w:spacing w:line="312" w:lineRule="auto"/>
        <w:ind w:firstLine="0"/>
        <w:jc w:val="left"/>
      </w:pPr>
      <w:r>
        <w:t>Вместимость объектов не учитывалась: школа на 200 и на 1 200 мест в модели равны. Поэтому оценка избыточности — верхняя граница.</w:t>
      </w:r>
    </w:p>
    <w:p>
      <w:pPr>
        <w:pStyle w:val="ListBullet"/>
        <w:spacing w:line="312" w:lineRule="auto"/>
        <w:ind w:firstLine="0"/>
        <w:jc w:val="left"/>
      </w:pPr>
      <w:r>
        <w:t>Население по кварталам не публикуется: спрос оценивается по числу жилых зданий.</w:t>
      </w:r>
    </w:p>
    <w:p>
      <w:pPr>
        <w:pStyle w:val="ListBullet"/>
        <w:spacing w:line="312" w:lineRule="auto"/>
        <w:ind w:firstLine="0"/>
        <w:jc w:val="left"/>
      </w:pPr>
      <w:r>
        <w:t>Возрастная структура не учтена: спрос на детсады и поликлиники считается однородным.</w:t>
      </w:r>
    </w:p>
    <w:p>
      <w:pPr>
        <w:pStyle w:val="ListBullet"/>
        <w:spacing w:line="312" w:lineRule="auto"/>
        <w:ind w:firstLine="0"/>
        <w:jc w:val="left"/>
      </w:pPr>
      <w:r>
        <w:t>Пешеходная сеть OSM неполная: часть тротуаров и переходов не закартирована.</w:t>
      </w:r>
    </w:p>
    <w:p>
      <w:pPr>
        <w:pStyle w:val="ListBullet"/>
        <w:spacing w:line="312" w:lineRule="auto"/>
        <w:ind w:firstLine="0"/>
        <w:jc w:val="left"/>
      </w:pPr>
      <w:r>
        <w:t>Медицинская сеть сверена только по основному поставщику; остальные юрлица не проверены.</w:t>
      </w:r>
    </w:p>
    <w:p>
      <w:pPr>
        <w:pStyle w:val="Heading1"/>
      </w:pPr>
      <w:r>
        <w:t>7. Направления развития</w:t>
      </w:r>
    </w:p>
    <w:p>
      <w:pPr>
        <w:pStyle w:val="ListBullet"/>
        <w:spacing w:line="312" w:lineRule="auto"/>
        <w:ind w:firstLine="0"/>
        <w:jc w:val="left"/>
      </w:pPr>
      <w:r>
        <w:t>Добавить вместимость объектов и перейти от покрытия к загрузке мест.</w:t>
      </w:r>
    </w:p>
    <w:p>
      <w:pPr>
        <w:pStyle w:val="ListBullet"/>
        <w:spacing w:line="312" w:lineRule="auto"/>
        <w:ind w:firstLine="0"/>
        <w:jc w:val="left"/>
      </w:pPr>
      <w:r>
        <w:t>Взвесить спрос по возрастной структуре населения.</w:t>
      </w:r>
    </w:p>
    <w:p>
      <w:pPr>
        <w:pStyle w:val="ListBullet"/>
        <w:spacing w:line="312" w:lineRule="auto"/>
        <w:ind w:firstLine="0"/>
        <w:jc w:val="left"/>
      </w:pPr>
      <w:r>
        <w:t>Проверить сценарии с учётом транспортной доступности, а не только пешей.</w:t>
      </w:r>
    </w:p>
    <w:p>
      <w:pPr>
        <w:pStyle w:val="ListBullet"/>
        <w:spacing w:line="312" w:lineRule="auto"/>
        <w:ind w:firstLine="0"/>
        <w:jc w:val="left"/>
      </w:pPr>
      <w:r>
        <w:t>Обновить веб-карту для использования администрацией и жителями.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