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9669" w14:textId="77777777" w:rsidR="00E23695" w:rsidRDefault="00000000">
      <w:pPr>
        <w:spacing w:line="480" w:lineRule="auto"/>
        <w:jc w:val="center"/>
      </w:pPr>
      <w:r>
        <w:rPr>
          <w:b/>
          <w:bCs/>
        </w:rPr>
        <w:t>References</w:t>
      </w:r>
    </w:p>
    <w:p w14:paraId="0D6B3A80" w14:textId="470E6E80" w:rsidR="00E23695" w:rsidRDefault="00000000">
      <w:pPr>
        <w:spacing w:line="480" w:lineRule="auto"/>
        <w:ind w:left="720" w:hanging="720"/>
      </w:pPr>
      <w:r>
        <w:t xml:space="preserve">National Center for Biotechnology Information. (n.d.-a). </w:t>
      </w:r>
      <w:r>
        <w:rPr>
          <w:i/>
          <w:iCs/>
        </w:rPr>
        <w:t>Acetaminophen</w:t>
      </w:r>
      <w:r>
        <w:t xml:space="preserve"> (PubChem Compound Summary for CID 1983). PubChem. Retrieved October 15, 2026, from https://pubchem.ncbi.nlm.nih.gov/compound/198</w:t>
      </w:r>
      <w:r w:rsidR="008B2C38">
        <w:t>3</w:t>
      </w:r>
    </w:p>
    <w:p w14:paraId="65AFF9BE" w14:textId="77777777" w:rsidR="00E23695" w:rsidRDefault="00000000">
      <w:pPr>
        <w:spacing w:line="480" w:lineRule="auto"/>
        <w:ind w:left="720" w:hanging="720"/>
      </w:pPr>
      <w:r>
        <w:t xml:space="preserve">National Center for Biotechnology Information. (n.d.-b). </w:t>
      </w:r>
      <w:r>
        <w:rPr>
          <w:i/>
          <w:iCs/>
        </w:rPr>
        <w:t>Acetic acid</w:t>
      </w:r>
      <w:r>
        <w:t xml:space="preserve"> (PubChem Compound Summary for CID 176). PubChem. Retrieved October 15, 2026, from https://pubchem.ncbi.nlm.nih.gov/compound/176</w:t>
      </w:r>
    </w:p>
    <w:p w14:paraId="2B0CE589" w14:textId="77777777" w:rsidR="00E23695" w:rsidRDefault="00000000">
      <w:pPr>
        <w:spacing w:line="480" w:lineRule="auto"/>
        <w:ind w:left="720" w:hanging="720"/>
      </w:pPr>
      <w:r>
        <w:t xml:space="preserve">National Center for Biotechnology Information. (n.d.-c). </w:t>
      </w:r>
      <w:r>
        <w:rPr>
          <w:i/>
          <w:iCs/>
        </w:rPr>
        <w:t>Acetone</w:t>
      </w:r>
      <w:r>
        <w:t xml:space="preserve"> (PubChem Compound Summary for CID 180). PubChem. Retrieved October 15, 2026, from https://pubchem.ncbi.nlm.nih.gov/compound/180</w:t>
      </w:r>
    </w:p>
    <w:p w14:paraId="28CE87BF" w14:textId="77777777" w:rsidR="00E23695" w:rsidRDefault="00000000">
      <w:pPr>
        <w:spacing w:line="480" w:lineRule="auto"/>
        <w:ind w:left="720" w:hanging="720"/>
      </w:pPr>
      <w:r>
        <w:t xml:space="preserve">National Center for Biotechnology Information. (n.d.-d). </w:t>
      </w:r>
      <w:r>
        <w:rPr>
          <w:i/>
          <w:iCs/>
        </w:rPr>
        <w:t>Aspirin</w:t>
      </w:r>
      <w:r>
        <w:t xml:space="preserve"> (PubChem Compound Summary for CID 2244). PubChem. Retrieved October 15, 2026, from https://pubchem.ncbi.nlm.nih.gov/compound/2244</w:t>
      </w:r>
    </w:p>
    <w:p w14:paraId="163A6F19" w14:textId="77777777" w:rsidR="00E23695" w:rsidRDefault="00000000">
      <w:pPr>
        <w:spacing w:line="480" w:lineRule="auto"/>
        <w:ind w:left="720" w:hanging="720"/>
      </w:pPr>
      <w:r>
        <w:t xml:space="preserve">National Center for Biotechnology Information. (n.d.-e). </w:t>
      </w:r>
      <w:r>
        <w:rPr>
          <w:i/>
          <w:iCs/>
        </w:rPr>
        <w:t>Caffeine</w:t>
      </w:r>
      <w:r>
        <w:t xml:space="preserve"> (PubChem Compound Summary for CID 2519). PubChem. Retrieved October 15, 2026, from https://pubchem.ncbi.nlm.nih.gov/compound/2519</w:t>
      </w:r>
    </w:p>
    <w:p w14:paraId="5AC4DB36" w14:textId="77777777" w:rsidR="00E23695" w:rsidRDefault="00000000">
      <w:pPr>
        <w:spacing w:line="480" w:lineRule="auto"/>
        <w:ind w:left="720" w:hanging="720"/>
      </w:pPr>
      <w:r>
        <w:t xml:space="preserve">National Center for Biotechnology Information. (n.d.-f). </w:t>
      </w:r>
      <w:r>
        <w:rPr>
          <w:i/>
          <w:iCs/>
        </w:rPr>
        <w:t>Cyclohexane</w:t>
      </w:r>
      <w:r>
        <w:t xml:space="preserve"> (PubChem Compound Summary for CID 8078). PubChem. Retrieved October 15, 2026, from https://pubchem.ncbi.nlm.nih.gov/compound/8078</w:t>
      </w:r>
    </w:p>
    <w:p w14:paraId="4D1A8B3F" w14:textId="77777777" w:rsidR="00E23695" w:rsidRDefault="00000000">
      <w:pPr>
        <w:spacing w:line="480" w:lineRule="auto"/>
        <w:ind w:left="720" w:hanging="720"/>
      </w:pPr>
      <w:r>
        <w:t xml:space="preserve">National Center for Biotechnology Information. (n.d.-g). </w:t>
      </w:r>
      <w:r>
        <w:rPr>
          <w:i/>
          <w:iCs/>
        </w:rPr>
        <w:t>Cyclohexanone</w:t>
      </w:r>
      <w:r>
        <w:t xml:space="preserve"> (PubChem Compound Summary for CID 7967). PubChem. Retrieved October 15, 2026, from https://pubchem.ncbi.nlm.nih.gov/compound/7967</w:t>
      </w:r>
    </w:p>
    <w:p w14:paraId="0E5CC78E" w14:textId="77777777" w:rsidR="00E23695" w:rsidRDefault="00000000">
      <w:pPr>
        <w:spacing w:line="480" w:lineRule="auto"/>
        <w:ind w:left="720" w:hanging="720"/>
      </w:pPr>
      <w:r>
        <w:lastRenderedPageBreak/>
        <w:t xml:space="preserve">National Center for Biotechnology Information. (n.d.-h). </w:t>
      </w:r>
      <w:r>
        <w:rPr>
          <w:i/>
          <w:iCs/>
        </w:rPr>
        <w:t>Ethanol</w:t>
      </w:r>
      <w:r>
        <w:t xml:space="preserve"> (PubChem Compound Summary for CID 702). PubChem. Retrieved October 15, 2026, from https://pubchem.ncbi.nlm.nih.gov/compound/702</w:t>
      </w:r>
    </w:p>
    <w:p w14:paraId="186059FF" w14:textId="77777777" w:rsidR="00E23695" w:rsidRDefault="00000000">
      <w:pPr>
        <w:spacing w:line="480" w:lineRule="auto"/>
        <w:ind w:left="720" w:hanging="720"/>
      </w:pPr>
      <w:r>
        <w:t>National Center for Biotechnology Information. (n.d.-</w:t>
      </w:r>
      <w:proofErr w:type="spellStart"/>
      <w:r>
        <w:t>i</w:t>
      </w:r>
      <w:proofErr w:type="spellEnd"/>
      <w:r>
        <w:t xml:space="preserve">). </w:t>
      </w:r>
      <w:r>
        <w:rPr>
          <w:i/>
          <w:iCs/>
        </w:rPr>
        <w:t>Ethyl acetate</w:t>
      </w:r>
      <w:r>
        <w:t xml:space="preserve"> (PubChem Compound Summary for CID 8857). PubChem. Retrieved October 15, 2026, from https://pubchem.ncbi.nlm.nih.gov/compound/8857</w:t>
      </w:r>
    </w:p>
    <w:p w14:paraId="43694315" w14:textId="77777777" w:rsidR="00E23695" w:rsidRDefault="00000000">
      <w:pPr>
        <w:spacing w:line="480" w:lineRule="auto"/>
        <w:ind w:left="720" w:hanging="720"/>
      </w:pPr>
      <w:r>
        <w:t xml:space="preserve">National Center for Biotechnology Information. (n.d.-j). </w:t>
      </w:r>
      <w:r>
        <w:rPr>
          <w:i/>
          <w:iCs/>
        </w:rPr>
        <w:t>Propane</w:t>
      </w:r>
      <w:r>
        <w:t xml:space="preserve"> (PubChem Compound Summary for CID 6334). PubChem. Retrieved October 15, 2026, from https://pubchem.ncbi.nlm.nih.gov/compound/6334</w:t>
      </w:r>
    </w:p>
    <w:sectPr w:rsidR="00E236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492"/>
    <w:multiLevelType w:val="hybridMultilevel"/>
    <w:tmpl w:val="BCEE7B4E"/>
    <w:lvl w:ilvl="0" w:tplc="F5FC7802">
      <w:start w:val="1"/>
      <w:numFmt w:val="bullet"/>
      <w:lvlText w:val="●"/>
      <w:lvlJc w:val="left"/>
      <w:pPr>
        <w:ind w:left="720" w:hanging="360"/>
      </w:pPr>
    </w:lvl>
    <w:lvl w:ilvl="1" w:tplc="6CBCD412">
      <w:start w:val="1"/>
      <w:numFmt w:val="bullet"/>
      <w:lvlText w:val="○"/>
      <w:lvlJc w:val="left"/>
      <w:pPr>
        <w:ind w:left="1440" w:hanging="360"/>
      </w:pPr>
    </w:lvl>
    <w:lvl w:ilvl="2" w:tplc="784C923E">
      <w:start w:val="1"/>
      <w:numFmt w:val="bullet"/>
      <w:lvlText w:val="■"/>
      <w:lvlJc w:val="left"/>
      <w:pPr>
        <w:ind w:left="2160" w:hanging="360"/>
      </w:pPr>
    </w:lvl>
    <w:lvl w:ilvl="3" w:tplc="DB18D326">
      <w:start w:val="1"/>
      <w:numFmt w:val="bullet"/>
      <w:lvlText w:val="●"/>
      <w:lvlJc w:val="left"/>
      <w:pPr>
        <w:ind w:left="2880" w:hanging="360"/>
      </w:pPr>
    </w:lvl>
    <w:lvl w:ilvl="4" w:tplc="FFCC00DA">
      <w:start w:val="1"/>
      <w:numFmt w:val="bullet"/>
      <w:lvlText w:val="○"/>
      <w:lvlJc w:val="left"/>
      <w:pPr>
        <w:ind w:left="3600" w:hanging="360"/>
      </w:pPr>
    </w:lvl>
    <w:lvl w:ilvl="5" w:tplc="106C58EE">
      <w:start w:val="1"/>
      <w:numFmt w:val="bullet"/>
      <w:lvlText w:val="■"/>
      <w:lvlJc w:val="left"/>
      <w:pPr>
        <w:ind w:left="4320" w:hanging="360"/>
      </w:pPr>
    </w:lvl>
    <w:lvl w:ilvl="6" w:tplc="2D98685E">
      <w:start w:val="1"/>
      <w:numFmt w:val="bullet"/>
      <w:lvlText w:val="●"/>
      <w:lvlJc w:val="left"/>
      <w:pPr>
        <w:ind w:left="5040" w:hanging="360"/>
      </w:pPr>
    </w:lvl>
    <w:lvl w:ilvl="7" w:tplc="63C02988">
      <w:start w:val="1"/>
      <w:numFmt w:val="bullet"/>
      <w:lvlText w:val="●"/>
      <w:lvlJc w:val="left"/>
      <w:pPr>
        <w:ind w:left="5760" w:hanging="360"/>
      </w:pPr>
    </w:lvl>
    <w:lvl w:ilvl="8" w:tplc="A0542668">
      <w:start w:val="1"/>
      <w:numFmt w:val="bullet"/>
      <w:lvlText w:val="●"/>
      <w:lvlJc w:val="left"/>
      <w:pPr>
        <w:ind w:left="6480" w:hanging="360"/>
      </w:pPr>
    </w:lvl>
  </w:abstractNum>
  <w:num w:numId="1" w16cid:durableId="121923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95"/>
    <w:rsid w:val="003430C9"/>
    <w:rsid w:val="008B2C38"/>
    <w:rsid w:val="00E2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D407"/>
  <w15:docId w15:val="{DFEB9589-3D1F-43FB-B2A9-3C2AA294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Gerald Yray</cp:lastModifiedBy>
  <cp:revision>2</cp:revision>
  <dcterms:created xsi:type="dcterms:W3CDTF">2026-10-15T14:35:00Z</dcterms:created>
  <dcterms:modified xsi:type="dcterms:W3CDTF">2026-10-15T14:35:00Z</dcterms:modified>
</cp:coreProperties>
</file>