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F4E79"/>
          <w:sz w:val="52"/>
          <w:szCs w:val="52"/>
        </w:rPr>
        <w:t xml:space="preserve">COMPTE RENDU DE PROJET</w:t>
      </w:r>
    </w:p>
    <w:p>
      <w:pPr>
        <w:spacing w:after="120"/>
        <w:jc w:val="center"/>
      </w:pPr>
      <w:r>
        <w:rPr>
          <w:rFonts w:ascii="Arial" w:cs="Arial" w:eastAsia="Arial" w:hAnsi="Arial"/>
          <w:b/>
          <w:bCs/>
          <w:color w:val="2E75B6"/>
          <w:sz w:val="64"/>
          <w:szCs w:val="64"/>
        </w:rPr>
        <w:t xml:space="preserve">Relativité Restreinte</w:t>
      </w:r>
    </w:p>
    <w:p>
      <w:pPr>
        <w:spacing w:after="600"/>
        <w:jc w:val="center"/>
      </w:pPr>
      <w:r>
        <w:rPr>
          <w:rFonts w:ascii="Arial" w:cs="Arial" w:eastAsia="Arial" w:hAnsi="Arial"/>
          <w:i/>
          <w:iCs/>
          <w:color w:val="555555"/>
          <w:sz w:val="36"/>
          <w:szCs w:val="36"/>
        </w:rPr>
        <w:t xml:space="preserve">Simulation de la Dilatation du Temps</w:t>
      </w:r>
    </w:p>
    <w:p>
      <w:pPr>
        <w:spacing w:after="400"/>
        <w:jc w:val="center"/>
      </w:pPr>
      <w:r>
        <w:rPr>
          <w:color w:val="2E75B6"/>
          <w:sz w:val="24"/>
          <w:szCs w:val="24"/>
        </w:rPr>
        <w:t xml:space="preserve">─────────────────────────────────────────</w:t>
      </w:r>
    </w:p>
    <w:p>
      <w:pPr>
        <w:spacing w:after="160"/>
        <w:jc w:val="center"/>
      </w:pPr>
      <w:r>
        <w:rPr>
          <w:rFonts w:ascii="Arial" w:cs="Arial" w:eastAsia="Arial" w:hAnsi="Arial"/>
          <w:b/>
          <w:bCs/>
          <w:color w:val="555555"/>
          <w:sz w:val="26"/>
          <w:szCs w:val="26"/>
        </w:rPr>
        <w:t xml:space="preserve">Réalisé par :</w:t>
      </w:r>
    </w:p>
    <w:p>
      <w:pPr>
        <w:spacing w:after="120"/>
        <w:jc w:val="center"/>
      </w:pPr>
      <w:r>
        <w:rPr>
          <w:rFonts w:ascii="Arial" w:cs="Arial" w:eastAsia="Arial" w:hAnsi="Arial"/>
          <w:b/>
          <w:bCs/>
          <w:color w:val="1F4E79"/>
          <w:sz w:val="30"/>
          <w:szCs w:val="30"/>
        </w:rPr>
        <w:t xml:space="preserve">Kenzo  ·  Nolan  ·  Julian  ·  Matisse</w:t>
      </w:r>
    </w:p>
    <w:p>
      <w:pPr>
        <w:spacing w:after="600"/>
        <w:jc w:val="center"/>
      </w:pPr>
      <w:r>
        <w:rPr>
          <w:rFonts w:ascii="Arial" w:cs="Arial" w:eastAsia="Arial" w:hAnsi="Arial"/>
          <w:color w:val="777777"/>
          <w:sz w:val="24"/>
          <w:szCs w:val="24"/>
        </w:rPr>
        <w:t xml:space="preserve">Année 2025 – 2026</w:t>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 Présentation du projet</w:t>
      </w:r>
    </w:p>
    <w:p>
      <w:pPr>
        <w:spacing w:after="120"/>
        <w:jc w:val="both"/>
      </w:pPr>
      <w:r>
        <w:rPr>
          <w:rFonts w:ascii="Arial" w:cs="Arial" w:eastAsia="Arial" w:hAnsi="Arial"/>
          <w:sz w:val="24"/>
          <w:szCs w:val="24"/>
        </w:rPr>
        <w:t xml:space="preserve">Ce projet s'inscrit dans le cadre de l'étude de la physique moderne, et plus particulièrement de la théorie de la relativité restreinte développée par Albert Einstein en 1905. L'objectif est de proposer une simulation visuelle et interactive permettant de comprendre intuitivement l'un des phénomènes les plus contre-intuitifs de la physique : la dilatation du temps.</w:t>
      </w:r>
    </w:p>
    <w:p>
      <w:pPr>
        <w:spacing w:after="120"/>
        <w:jc w:val="both"/>
      </w:pPr>
      <w:r>
        <w:rPr>
          <w:rFonts w:ascii="Arial" w:cs="Arial" w:eastAsia="Arial" w:hAnsi="Arial"/>
          <w:sz w:val="24"/>
          <w:szCs w:val="24"/>
        </w:rPr>
        <w:t xml:space="preserve">La simulation a été développée en Python à l'aide de la bibliothèque Pygame, qui permet la création d'interfaces graphiques en temps réel. Le programme met en scène deux horloges analogiques représentant deux référentiels distincts : l'un au repos et l'autre en mouvement à une vitesse proche de celle de la lumière. L'utilisateur peut interagir avec la simulation grâce à deux curseurs permettant respectivement de régler la vitesse du référentiel mobile et la vitesse d'écoulement de la simulation.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Langage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Bibliothèque principale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Pygame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Bibliothèques secondaires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math, random, numpy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Résolution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 × 1000 pixels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Framerate cible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FPS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Auteurs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Kenzo, Nolan, Julian, Matisse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Année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 – 2026</w:t>
            </w:r>
          </w:p>
        </w:tc>
      </w:tr>
    </w:tbl>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2. Contexte scientifique</w:t>
      </w:r>
    </w:p>
    <w:p>
      <w:pPr>
        <w:pStyle w:val="Heading2"/>
        <w:spacing w:after="120" w:before="280"/>
      </w:pPr>
      <w:r>
        <w:rPr>
          <w:rFonts w:ascii="Arial" w:cs="Arial" w:eastAsia="Arial" w:hAnsi="Arial"/>
          <w:b/>
          <w:bCs/>
          <w:color w:val="2E75B6"/>
          <w:sz w:val="28"/>
          <w:szCs w:val="28"/>
        </w:rPr>
        <w:t xml:space="preserve">2.1 La relativité restreinte</w:t>
      </w:r>
    </w:p>
    <w:p>
      <w:pPr>
        <w:spacing w:after="120"/>
        <w:jc w:val="both"/>
      </w:pPr>
      <w:r>
        <w:rPr>
          <w:rFonts w:ascii="Arial" w:cs="Arial" w:eastAsia="Arial" w:hAnsi="Arial"/>
          <w:sz w:val="24"/>
          <w:szCs w:val="24"/>
        </w:rPr>
        <w:t xml:space="preserve">La théorie de la relativité restreinte, publiée par Einstein en 1905, repose sur deux postulats fondamentaux. Le premier affirme que les lois de la physique sont identiques dans tous les référentiels inertiels. Le second stipule que la vitesse de la lumière dans le vide est constante (c ≈ 299 792 458 m/s) quelle que soit la vitesse de la source ou de l'observateur.</w:t>
      </w:r>
    </w:p>
    <w:p>
      <w:pPr>
        <w:spacing w:after="120"/>
        <w:jc w:val="both"/>
      </w:pPr>
      <w:r>
        <w:rPr>
          <w:rFonts w:ascii="Arial" w:cs="Arial" w:eastAsia="Arial" w:hAnsi="Arial"/>
          <w:sz w:val="24"/>
          <w:szCs w:val="24"/>
        </w:rPr>
        <w:t xml:space="preserve">Ces deux postulats entraînent une série de conséquences remarquables, parmi lesquelles la contraction des longueurs, l'équivalence masse-énergie (E = mc²) et, au cœur de ce projet, la dilatation du temps.</w:t>
      </w:r>
    </w:p>
    <w:p>
      <w:pPr>
        <w:pStyle w:val="Heading2"/>
        <w:spacing w:after="120" w:before="280"/>
      </w:pPr>
      <w:r>
        <w:rPr>
          <w:rFonts w:ascii="Arial" w:cs="Arial" w:eastAsia="Arial" w:hAnsi="Arial"/>
          <w:b/>
          <w:bCs/>
          <w:color w:val="2E75B6"/>
          <w:sz w:val="28"/>
          <w:szCs w:val="28"/>
        </w:rPr>
        <w:t xml:space="preserve">2.2 La dilatation du temps</w:t>
      </w:r>
    </w:p>
    <w:p>
      <w:pPr>
        <w:spacing w:after="120"/>
        <w:jc w:val="both"/>
      </w:pPr>
      <w:r>
        <w:rPr>
          <w:rFonts w:ascii="Arial" w:cs="Arial" w:eastAsia="Arial" w:hAnsi="Arial"/>
          <w:sz w:val="24"/>
          <w:szCs w:val="24"/>
        </w:rPr>
        <w:t xml:space="preserve">La dilatation du temps est l'un des effets les plus spectaculaires de la relativité restreinte. Elle désigne le fait qu'une horloge en mouvement à grande vitesse par rapport à un observateur tourne plus lentement que cette même horloge au repos.</w:t>
      </w:r>
    </w:p>
    <w:p>
      <w:pPr>
        <w:spacing w:after="120"/>
        <w:jc w:val="both"/>
      </w:pPr>
      <w:r>
        <w:rPr>
          <w:rFonts w:ascii="Arial" w:cs="Arial" w:eastAsia="Arial" w:hAnsi="Arial"/>
          <w:sz w:val="24"/>
          <w:szCs w:val="24"/>
        </w:rPr>
        <w:t xml:space="preserve">Ce phénomène est quantifié par le facteur de Lorentz γ (gamma), défini par la formule :</w:t>
      </w:r>
    </w:p>
    <w:p>
      <w:pPr>
        <w:spacing w:after="160" w:before="160"/>
        <w:jc w:val="center"/>
      </w:pPr>
      <w:r>
        <w:rPr>
          <w:rFonts w:ascii="Courier New" w:cs="Courier New" w:eastAsia="Courier New" w:hAnsi="Courier New"/>
          <w:b/>
          <w:bCs/>
          <w:color w:val="2E75B6"/>
          <w:sz w:val="28"/>
          <w:szCs w:val="28"/>
        </w:rPr>
        <w:t xml:space="preserve">γ = 1 / √(1 − β²)    avec β = v/c</w:t>
      </w:r>
    </w:p>
    <w:p>
      <w:pPr>
        <w:spacing w:after="120"/>
        <w:jc w:val="both"/>
      </w:pPr>
      <w:r>
        <w:rPr>
          <w:rFonts w:ascii="Arial" w:cs="Arial" w:eastAsia="Arial" w:hAnsi="Arial"/>
          <w:sz w:val="24"/>
          <w:szCs w:val="24"/>
        </w:rPr>
        <w:t xml:space="preserve">Où v est la vitesse du référentiel mobile et c est la vitesse de la lumière. Plus β s'approche de 1 (c'est-à-dire plus la vitesse s'approche de c), plus γ devient grand, et plus le temps s'écoule lentement dans le référentiel en mouvement.</w:t>
      </w:r>
    </w:p>
    <w:p>
      <w:pPr>
        <w:spacing w:after="120"/>
        <w:jc w:val="both"/>
      </w:pPr>
      <w:r>
        <w:rPr>
          <w:rFonts w:ascii="Arial" w:cs="Arial" w:eastAsia="Arial" w:hAnsi="Arial"/>
          <w:sz w:val="24"/>
          <w:szCs w:val="24"/>
        </w:rPr>
        <w:t xml:space="preserve">Quelques exemples de valeurs notables :</w:t>
      </w:r>
    </w:p>
    <w:p>
      <w:pPr>
        <w:pStyle w:val="ListParagraph"/>
        <w:numPr>
          <w:ilvl w:val="0"/>
          <w:numId w:val="2"/>
        </w:numPr>
        <w:spacing w:after="80"/>
      </w:pPr>
      <w:r>
        <w:rPr>
          <w:rFonts w:ascii="Arial" w:cs="Arial" w:eastAsia="Arial" w:hAnsi="Arial"/>
          <w:sz w:val="24"/>
          <w:szCs w:val="24"/>
        </w:rPr>
        <w:t xml:space="preserve">β = 0     →  γ = 1,000  (pas de dilatation, temps identique)</w:t>
      </w:r>
    </w:p>
    <w:p>
      <w:pPr>
        <w:pStyle w:val="ListParagraph"/>
        <w:numPr>
          <w:ilvl w:val="0"/>
          <w:numId w:val="2"/>
        </w:numPr>
        <w:spacing w:after="80"/>
      </w:pPr>
      <w:r>
        <w:rPr>
          <w:rFonts w:ascii="Arial" w:cs="Arial" w:eastAsia="Arial" w:hAnsi="Arial"/>
          <w:sz w:val="24"/>
          <w:szCs w:val="24"/>
        </w:rPr>
        <w:t xml:space="preserve">β = 0,5   →  γ ≈ 1,155  (dilatation de ~15%)</w:t>
      </w:r>
    </w:p>
    <w:p>
      <w:pPr>
        <w:pStyle w:val="ListParagraph"/>
        <w:numPr>
          <w:ilvl w:val="0"/>
          <w:numId w:val="2"/>
        </w:numPr>
        <w:spacing w:after="80"/>
      </w:pPr>
      <w:r>
        <w:rPr>
          <w:rFonts w:ascii="Arial" w:cs="Arial" w:eastAsia="Arial" w:hAnsi="Arial"/>
          <w:sz w:val="24"/>
          <w:szCs w:val="24"/>
        </w:rPr>
        <w:t xml:space="preserve">β = 0,9   →  γ ≈ 2,294  (temps 2× plus lent)</w:t>
      </w:r>
    </w:p>
    <w:p>
      <w:pPr>
        <w:pStyle w:val="ListParagraph"/>
        <w:numPr>
          <w:ilvl w:val="0"/>
          <w:numId w:val="2"/>
        </w:numPr>
        <w:spacing w:after="80"/>
      </w:pPr>
      <w:r>
        <w:rPr>
          <w:rFonts w:ascii="Arial" w:cs="Arial" w:eastAsia="Arial" w:hAnsi="Arial"/>
          <w:sz w:val="24"/>
          <w:szCs w:val="24"/>
        </w:rPr>
        <w:t xml:space="preserve">β = 0,99  →  γ ≈ 7,089  (temps 7× plus lent)</w:t>
      </w:r>
    </w:p>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3. Description technique du programme</w:t>
      </w:r>
    </w:p>
    <w:p>
      <w:pPr>
        <w:pStyle w:val="Heading2"/>
        <w:spacing w:after="120" w:before="280"/>
      </w:pPr>
      <w:r>
        <w:rPr>
          <w:rFonts w:ascii="Arial" w:cs="Arial" w:eastAsia="Arial" w:hAnsi="Arial"/>
          <w:b/>
          <w:bCs/>
          <w:color w:val="2E75B6"/>
          <w:sz w:val="28"/>
          <w:szCs w:val="28"/>
        </w:rPr>
        <w:t xml:space="preserve">3.1 Structure générale</w:t>
      </w:r>
    </w:p>
    <w:p>
      <w:pPr>
        <w:spacing w:after="120"/>
        <w:jc w:val="both"/>
      </w:pPr>
      <w:r>
        <w:rPr>
          <w:rFonts w:ascii="Arial" w:cs="Arial" w:eastAsia="Arial" w:hAnsi="Arial"/>
          <w:sz w:val="24"/>
          <w:szCs w:val="24"/>
        </w:rPr>
        <w:t xml:space="preserve">Le programme est organisé autour d'une boucle principale Pygame tournant à 60 images par seconde. À chaque itération, le programme calcule le temps écoulé depuis la frame précédente (delta time), met à jour les accumulateurs de temps des deux horloges, gère les événements utilisateur, puis redessine l'ensemble de l'interface.</w:t>
      </w:r>
    </w:p>
    <w:p>
      <w:pPr>
        <w:spacing w:after="120"/>
        <w:jc w:val="both"/>
      </w:pPr>
      <w:r>
        <w:rPr>
          <w:rFonts w:ascii="Arial" w:cs="Arial" w:eastAsia="Arial" w:hAnsi="Arial"/>
          <w:sz w:val="24"/>
          <w:szCs w:val="24"/>
        </w:rPr>
        <w:t xml:space="preserve">Cette approche basée sur le delta time garantit que la simulation reste cohérente indépendamment des variations de performance de la machine.</w:t>
      </w:r>
    </w:p>
    <w:p>
      <w:pPr>
        <w:pStyle w:val="Heading2"/>
        <w:spacing w:after="120" w:before="280"/>
      </w:pPr>
      <w:r>
        <w:rPr>
          <w:rFonts w:ascii="Arial" w:cs="Arial" w:eastAsia="Arial" w:hAnsi="Arial"/>
          <w:b/>
          <w:bCs/>
          <w:color w:val="2E75B6"/>
          <w:sz w:val="28"/>
          <w:szCs w:val="28"/>
        </w:rPr>
        <w:t xml:space="preserve">3.2 Les deux référentiels</w:t>
      </w:r>
    </w:p>
    <w:p>
      <w:pPr>
        <w:spacing w:after="120"/>
        <w:jc w:val="both"/>
      </w:pPr>
      <w:r>
        <w:rPr>
          <w:rFonts w:ascii="Arial" w:cs="Arial" w:eastAsia="Arial" w:hAnsi="Arial"/>
          <w:sz w:val="24"/>
          <w:szCs w:val="24"/>
        </w:rPr>
        <w:t xml:space="preserve">L'interface est divisée en deux zones symétriques par un séparateur vertical central. À gauche se trouve le référentiel au repos, représenté par une horloge rouge. À droite se trouve le référentiel en mouvement, représenté par une horloge verte dont l'écoulement du temps est ralenti par le facteur γ.</w:t>
      </w:r>
    </w:p>
    <w:p>
      <w:pPr>
        <w:spacing w:after="120"/>
        <w:jc w:val="both"/>
      </w:pPr>
      <w:r>
        <w:rPr>
          <w:rFonts w:ascii="Arial" w:cs="Arial" w:eastAsia="Arial" w:hAnsi="Arial"/>
          <w:sz w:val="24"/>
          <w:szCs w:val="24"/>
        </w:rPr>
        <w:t xml:space="preserve">Chaque horloge affiche :</w:t>
      </w:r>
    </w:p>
    <w:p>
      <w:pPr>
        <w:pStyle w:val="ListParagraph"/>
        <w:numPr>
          <w:ilvl w:val="0"/>
          <w:numId w:val="2"/>
        </w:numPr>
        <w:spacing w:after="80"/>
      </w:pPr>
      <w:r>
        <w:rPr>
          <w:rFonts w:ascii="Arial" w:cs="Arial" w:eastAsia="Arial" w:hAnsi="Arial"/>
          <w:sz w:val="24"/>
          <w:szCs w:val="24"/>
        </w:rPr>
        <w:t xml:space="preserve">Un cadran analogique avec aiguilles des heures, minutes et secondes</w:t>
      </w:r>
    </w:p>
    <w:p>
      <w:pPr>
        <w:pStyle w:val="ListParagraph"/>
        <w:numPr>
          <w:ilvl w:val="0"/>
          <w:numId w:val="2"/>
        </w:numPr>
        <w:spacing w:after="80"/>
      </w:pPr>
      <w:r>
        <w:rPr>
          <w:rFonts w:ascii="Arial" w:cs="Arial" w:eastAsia="Arial" w:hAnsi="Arial"/>
          <w:sz w:val="24"/>
          <w:szCs w:val="24"/>
        </w:rPr>
        <w:t xml:space="preserve">Un affichage numérique au format HH:MM:SS en dessous</w:t>
      </w:r>
    </w:p>
    <w:p>
      <w:pPr>
        <w:spacing w:after="120"/>
      </w:pPr>
      <w:r>
        <w:t xml:space="preserve"/>
      </w:r>
    </w:p>
    <w:p>
      <w:pPr>
        <w:pStyle w:val="Heading2"/>
        <w:spacing w:after="120" w:before="280"/>
      </w:pPr>
      <w:r>
        <w:rPr>
          <w:rFonts w:ascii="Arial" w:cs="Arial" w:eastAsia="Arial" w:hAnsi="Arial"/>
          <w:b/>
          <w:bCs/>
          <w:color w:val="2E75B6"/>
          <w:sz w:val="28"/>
          <w:szCs w:val="28"/>
        </w:rPr>
        <w:t xml:space="preserve">3.3 Les curseurs interactifs</w:t>
      </w:r>
    </w:p>
    <w:p>
      <w:pPr>
        <w:spacing w:after="120"/>
        <w:jc w:val="both"/>
      </w:pPr>
      <w:r>
        <w:rPr>
          <w:rFonts w:ascii="Arial" w:cs="Arial" w:eastAsia="Arial" w:hAnsi="Arial"/>
          <w:sz w:val="24"/>
          <w:szCs w:val="24"/>
        </w:rPr>
        <w:t xml:space="preserve">La simulation propose deux curseurs indépendants situés en bas de l'écran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Curseur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Plage</w:t>
            </w:r>
          </w:p>
        </w:tc>
        <w:tc>
          <w:tcPr>
            <w:tcW w:type="dxa" w:w="5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Effet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Vitesse (β)</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 0,99c</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Modifie β et calcule γ en temps réel. Plus β est élevé, plus l'horloge droite ralentit.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×10 000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Accélère les deux horloges simultanément selon une échelle logarithmique. La dilatation reste visible entre elles.</w:t>
            </w:r>
          </w:p>
        </w:tc>
      </w:tr>
    </w:tbl>
    <w:p>
      <w:pPr>
        <w:spacing w:after="120"/>
      </w:pPr>
      <w:r>
        <w:t xml:space="preserve"/>
      </w:r>
    </w:p>
    <w:p>
      <w:pPr>
        <w:pStyle w:val="Heading2"/>
        <w:spacing w:after="120" w:before="280"/>
      </w:pPr>
      <w:r>
        <w:rPr>
          <w:rFonts w:ascii="Arial" w:cs="Arial" w:eastAsia="Arial" w:hAnsi="Arial"/>
          <w:b/>
          <w:bCs/>
          <w:color w:val="2E75B6"/>
          <w:sz w:val="28"/>
          <w:szCs w:val="28"/>
        </w:rPr>
        <w:t xml:space="preserve">3.4 Détails d'implémentation</w:t>
      </w:r>
    </w:p>
    <w:p>
      <w:pPr>
        <w:spacing w:after="120"/>
        <w:jc w:val="both"/>
      </w:pPr>
      <w:r>
        <w:rPr>
          <w:rFonts w:ascii="Arial" w:cs="Arial" w:eastAsia="Arial" w:hAnsi="Arial"/>
          <w:sz w:val="24"/>
          <w:szCs w:val="24"/>
        </w:rPr>
        <w:t xml:space="preserve">La gestion du temps repose sur un système d'accumulateurs :</w:t>
      </w:r>
    </w:p>
    <w:p>
      <w:pPr>
        <w:pStyle w:val="ListParagraph"/>
        <w:numPr>
          <w:ilvl w:val="0"/>
          <w:numId w:val="2"/>
        </w:numPr>
        <w:spacing w:after="80"/>
      </w:pPr>
      <w:r>
        <w:rPr>
          <w:rFonts w:ascii="Arial" w:cs="Arial" w:eastAsia="Arial" w:hAnsi="Arial"/>
          <w:sz w:val="24"/>
          <w:szCs w:val="24"/>
        </w:rPr>
        <w:t xml:space="preserve">accumulator += dt × sim_speed  →  horloge gauche (repos)</w:t>
      </w:r>
    </w:p>
    <w:p>
      <w:pPr>
        <w:pStyle w:val="ListParagraph"/>
        <w:numPr>
          <w:ilvl w:val="0"/>
          <w:numId w:val="2"/>
        </w:numPr>
        <w:spacing w:after="80"/>
      </w:pPr>
      <w:r>
        <w:rPr>
          <w:rFonts w:ascii="Arial" w:cs="Arial" w:eastAsia="Arial" w:hAnsi="Arial"/>
          <w:sz w:val="24"/>
          <w:szCs w:val="24"/>
        </w:rPr>
        <w:t xml:space="preserve">accumulator2 += dt × sim_speed / γ  →  horloge droite (mouvement)</w:t>
      </w:r>
    </w:p>
    <w:p>
      <w:pPr>
        <w:spacing w:after="120"/>
        <w:jc w:val="both"/>
      </w:pPr>
      <w:r>
        <w:rPr>
          <w:rFonts w:ascii="Arial" w:cs="Arial" w:eastAsia="Arial" w:hAnsi="Arial"/>
          <w:sz w:val="24"/>
          <w:szCs w:val="24"/>
        </w:rPr>
        <w:t xml:space="preserve">Lorsqu'un accumulateur atteint 1, le compteur correspondant est incrémenté d'une seconde et l'accumulateur est décrémenté. Cette approche évite les dérives et garantit une précision à la seconde.</w:t>
      </w:r>
    </w:p>
    <w:p>
      <w:pPr>
        <w:spacing w:after="120"/>
        <w:jc w:val="both"/>
      </w:pPr>
      <w:r>
        <w:rPr>
          <w:rFonts w:ascii="Arial" w:cs="Arial" w:eastAsia="Arial" w:hAnsi="Arial"/>
          <w:sz w:val="24"/>
          <w:szCs w:val="24"/>
        </w:rPr>
        <w:t xml:space="preserve">La vitesse de simulation suit une échelle logarithmique (base 10) : sim_speed = 10^(t×4), où t est la position normalisée du curseur (0 à 1). Cela permet de couvrir de manière ergonomique des plages très larges, de ×1 à ×10 000.</w:t>
      </w:r>
    </w:p>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4. Interface graphique</w:t>
      </w:r>
    </w:p>
    <w:p>
      <w:pPr>
        <w:spacing w:after="120"/>
        <w:jc w:val="both"/>
      </w:pPr>
      <w:r>
        <w:rPr>
          <w:rFonts w:ascii="Arial" w:cs="Arial" w:eastAsia="Arial" w:hAnsi="Arial"/>
          <w:sz w:val="24"/>
          <w:szCs w:val="24"/>
        </w:rPr>
        <w:t xml:space="preserve">L'interface graphique a été conçue pour être à la fois esthétique et pédagogique. Elle s'inspire d'une ambiance spatiale avec un fond noir étoilé (200 étoiles générées aléatoirement) et des couleurs distinctives pour chaque référentiel.</w:t>
      </w:r>
    </w:p>
    <w:p>
      <w:pPr>
        <w:spacing w:after="120"/>
        <w:jc w:val="both"/>
      </w:pPr>
      <w:r>
        <w:rPr>
          <w:rFonts w:ascii="Arial" w:cs="Arial" w:eastAsia="Arial" w:hAnsi="Arial"/>
          <w:sz w:val="24"/>
          <w:szCs w:val="24"/>
        </w:rPr>
        <w:t xml:space="preserve">Les choix graphiques reflètent la physique sous-jacente :</w:t>
      </w:r>
    </w:p>
    <w:p>
      <w:pPr>
        <w:pStyle w:val="ListParagraph"/>
        <w:numPr>
          <w:ilvl w:val="0"/>
          <w:numId w:val="2"/>
        </w:numPr>
        <w:spacing w:after="80"/>
      </w:pPr>
      <w:r>
        <w:rPr>
          <w:rFonts w:ascii="Arial" w:cs="Arial" w:eastAsia="Arial" w:hAnsi="Arial"/>
          <w:sz w:val="24"/>
          <w:szCs w:val="24"/>
        </w:rPr>
        <w:t xml:space="preserve">Rouge pour le référentiel au repos : couleur froide évoquant la stabilité</w:t>
      </w:r>
    </w:p>
    <w:p>
      <w:pPr>
        <w:pStyle w:val="ListParagraph"/>
        <w:numPr>
          <w:ilvl w:val="0"/>
          <w:numId w:val="2"/>
        </w:numPr>
        <w:spacing w:after="80"/>
      </w:pPr>
      <w:r>
        <w:rPr>
          <w:rFonts w:ascii="Arial" w:cs="Arial" w:eastAsia="Arial" w:hAnsi="Arial"/>
          <w:sz w:val="24"/>
          <w:szCs w:val="24"/>
        </w:rPr>
        <w:t xml:space="preserve">Vert pour le référentiel en mouvement : couleur vive suggérant le déplacement</w:t>
      </w:r>
    </w:p>
    <w:p>
      <w:pPr>
        <w:pStyle w:val="ListParagraph"/>
        <w:numPr>
          <w:ilvl w:val="0"/>
          <w:numId w:val="2"/>
        </w:numPr>
        <w:spacing w:after="80"/>
      </w:pPr>
      <w:r>
        <w:rPr>
          <w:rFonts w:ascii="Arial" w:cs="Arial" w:eastAsia="Arial" w:hAnsi="Arial"/>
          <w:sz w:val="24"/>
          <w:szCs w:val="24"/>
        </w:rPr>
        <w:t xml:space="preserve">Bleu pour les informations dynamiques (β, v, γ) : couleur associée à la physique</w:t>
      </w:r>
    </w:p>
    <w:p>
      <w:pPr>
        <w:pStyle w:val="ListParagraph"/>
        <w:numPr>
          <w:ilvl w:val="0"/>
          <w:numId w:val="2"/>
        </w:numPr>
        <w:spacing w:after="80"/>
      </w:pPr>
      <w:r>
        <w:rPr>
          <w:rFonts w:ascii="Arial" w:cs="Arial" w:eastAsia="Arial" w:hAnsi="Arial"/>
          <w:sz w:val="24"/>
          <w:szCs w:val="24"/>
        </w:rPr>
        <w:t xml:space="preserve">Violet pour le curseur de simulation : distingue visuellement les deux types de contrôle</w:t>
      </w:r>
    </w:p>
    <w:p>
      <w:pPr>
        <w:spacing w:after="120"/>
        <w:jc w:val="both"/>
      </w:pPr>
      <w:r>
        <w:rPr>
          <w:rFonts w:ascii="Arial" w:cs="Arial" w:eastAsia="Arial" w:hAnsi="Arial"/>
          <w:sz w:val="24"/>
          <w:szCs w:val="24"/>
        </w:rPr>
        <w:t xml:space="preserve">Chaque horloge analogique est dessinée manuellement avec des calculs trigonométriques : les marques horaires, les chiffres, et les trois aiguilles (heures, minutes, secondes) sont rendus avec des fonctions pygame.draw. L'aiguille des secondes est rendue en bleu pour faciliter l'observation du ralentissement.</w:t>
      </w:r>
    </w:p>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5. Difficultés rencontrées et solutions</w:t>
      </w:r>
    </w:p>
    <w:p>
      <w:pPr>
        <w:pStyle w:val="Heading2"/>
        <w:spacing w:after="120" w:before="280"/>
      </w:pPr>
      <w:r>
        <w:rPr>
          <w:rFonts w:ascii="Arial" w:cs="Arial" w:eastAsia="Arial" w:hAnsi="Arial"/>
          <w:b/>
          <w:bCs/>
          <w:color w:val="2E75B6"/>
          <w:sz w:val="28"/>
          <w:szCs w:val="28"/>
        </w:rPr>
        <w:t xml:space="preserve">5.1 Synchronisation du temps</w:t>
      </w:r>
    </w:p>
    <w:p>
      <w:pPr>
        <w:spacing w:after="120"/>
        <w:jc w:val="both"/>
      </w:pPr>
      <w:r>
        <w:rPr>
          <w:rFonts w:ascii="Arial" w:cs="Arial" w:eastAsia="Arial" w:hAnsi="Arial"/>
          <w:sz w:val="24"/>
          <w:szCs w:val="24"/>
        </w:rPr>
        <w:t xml:space="preserve">L'une des principales difficultés était de garantir que les deux horloges s'écoulent correctement, en particulier lorsque la vitesse de simulation est très élevée (×10 000). L'utilisation d'accumulateurs en virgule flottante couplée au delta time de Pygame a permis de résoudre ce problème en découplant l'affichage (60 fps) de l'écoulement du temps simulé.</w:t>
      </w:r>
    </w:p>
    <w:p>
      <w:pPr>
        <w:pStyle w:val="Heading2"/>
        <w:spacing w:after="120" w:before="280"/>
      </w:pPr>
      <w:r>
        <w:rPr>
          <w:rFonts w:ascii="Arial" w:cs="Arial" w:eastAsia="Arial" w:hAnsi="Arial"/>
          <w:b/>
          <w:bCs/>
          <w:color w:val="2E75B6"/>
          <w:sz w:val="28"/>
          <w:szCs w:val="28"/>
        </w:rPr>
        <w:t xml:space="preserve">5.2 Les deux curseurs indépendants</w:t>
      </w:r>
    </w:p>
    <w:p>
      <w:pPr>
        <w:spacing w:after="120"/>
        <w:jc w:val="both"/>
      </w:pPr>
      <w:r>
        <w:rPr>
          <w:rFonts w:ascii="Arial" w:cs="Arial" w:eastAsia="Arial" w:hAnsi="Arial"/>
          <w:sz w:val="24"/>
          <w:szCs w:val="24"/>
        </w:rPr>
        <w:t xml:space="preserve">La gestion de deux curseurs draggables simultanément a nécessité une logique de détection précise : les variables dragging et dragging2 sont mutuellement exclusives, évitant tout conflit lors d'interactions rapides. La détection du clic sur le curseur utilise une zone de tolérance de ±12 pixels autour du centre du bouton.</w:t>
      </w:r>
    </w:p>
    <w:p>
      <w:pPr>
        <w:pStyle w:val="Heading2"/>
        <w:spacing w:after="120" w:before="280"/>
      </w:pPr>
      <w:r>
        <w:rPr>
          <w:rFonts w:ascii="Arial" w:cs="Arial" w:eastAsia="Arial" w:hAnsi="Arial"/>
          <w:b/>
          <w:bCs/>
          <w:color w:val="2E75B6"/>
          <w:sz w:val="28"/>
          <w:szCs w:val="28"/>
        </w:rPr>
        <w:t xml:space="preserve">5.3 Echelle logarithmique du curseur de simulation</w:t>
      </w:r>
    </w:p>
    <w:p>
      <w:pPr>
        <w:spacing w:after="120"/>
        <w:jc w:val="both"/>
      </w:pPr>
      <w:r>
        <w:rPr>
          <w:rFonts w:ascii="Arial" w:cs="Arial" w:eastAsia="Arial" w:hAnsi="Arial"/>
          <w:sz w:val="24"/>
          <w:szCs w:val="24"/>
        </w:rPr>
        <w:t xml:space="preserve">Pour rendre le curseur de vitesse de simulation intuitif sur une plage de ×1 à ×10 000, une échelle linéaire aurait rendu la partie basse (×1 à ×100) quasi inutilisable. L'échelle logarithmique (10^(t×4)) offre une distribution ergonomique sur toute la longueur du curseur.</w:t>
      </w:r>
    </w:p>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6. Résultats et observations</w:t>
      </w:r>
    </w:p>
    <w:p>
      <w:pPr>
        <w:spacing w:after="120"/>
        <w:jc w:val="both"/>
      </w:pPr>
      <w:r>
        <w:rPr>
          <w:rFonts w:ascii="Arial" w:cs="Arial" w:eastAsia="Arial" w:hAnsi="Arial"/>
          <w:sz w:val="24"/>
          <w:szCs w:val="24"/>
        </w:rPr>
        <w:t xml:space="preserve">La simulation produit des résultats visuellement conformes aux prédictions de la relativité restreinte. À vitesse nulle (β = 0), les deux horloges s'écoulent à la même vitesse. À mesure que β augmente, l'horloge du référentiel en mouvement ralentit de manière croissante.</w:t>
      </w:r>
    </w:p>
    <w:p>
      <w:pPr>
        <w:spacing w:after="120"/>
        <w:jc w:val="both"/>
      </w:pPr>
      <w:r>
        <w:rPr>
          <w:rFonts w:ascii="Arial" w:cs="Arial" w:eastAsia="Arial" w:hAnsi="Arial"/>
          <w:sz w:val="24"/>
          <w:szCs w:val="24"/>
        </w:rPr>
        <w:t xml:space="preserve">Les valeurs affichées en temps réel (β, v en m/s, γ) permettent de vérifier immédiatement la cohérence physique de la simulation :</w:t>
      </w:r>
    </w:p>
    <w:p>
      <w:pPr>
        <w:pStyle w:val="ListParagraph"/>
        <w:numPr>
          <w:ilvl w:val="0"/>
          <w:numId w:val="2"/>
        </w:numPr>
        <w:spacing w:after="80"/>
      </w:pPr>
      <w:r>
        <w:rPr>
          <w:rFonts w:ascii="Arial" w:cs="Arial" w:eastAsia="Arial" w:hAnsi="Arial"/>
          <w:sz w:val="24"/>
          <w:szCs w:val="24"/>
        </w:rPr>
        <w:t xml:space="preserve">À β = 0,99, γ ≈ 7,09 : l'horloge droite tourne environ 7 fois plus lentement</w:t>
      </w:r>
    </w:p>
    <w:p>
      <w:pPr>
        <w:pStyle w:val="ListParagraph"/>
        <w:numPr>
          <w:ilvl w:val="0"/>
          <w:numId w:val="2"/>
        </w:numPr>
        <w:spacing w:after="80"/>
      </w:pPr>
      <w:r>
        <w:rPr>
          <w:rFonts w:ascii="Arial" w:cs="Arial" w:eastAsia="Arial" w:hAnsi="Arial"/>
          <w:sz w:val="24"/>
          <w:szCs w:val="24"/>
        </w:rPr>
        <w:t xml:space="preserve">Le curseur de simulation permet d'observer l'accumulation du décalage en quelques secondes seulement</w:t>
      </w:r>
    </w:p>
    <w:p>
      <w:pPr>
        <w:pStyle w:val="ListParagraph"/>
        <w:numPr>
          <w:ilvl w:val="0"/>
          <w:numId w:val="2"/>
        </w:numPr>
        <w:spacing w:after="80"/>
      </w:pPr>
      <w:r>
        <w:rPr>
          <w:rFonts w:ascii="Arial" w:cs="Arial" w:eastAsia="Arial" w:hAnsi="Arial"/>
          <w:sz w:val="24"/>
          <w:szCs w:val="24"/>
        </w:rPr>
        <w:t xml:space="preserve">L'interface reste fluide à 60 FPS même à ×10 000 grâce à la gestion par accumulateurs</w:t>
      </w:r>
    </w:p>
    <w:p>
      <w:pPr>
        <w:spacing w:after="12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7. Conclusion</w:t>
      </w:r>
    </w:p>
    <w:p>
      <w:pPr>
        <w:spacing w:after="120"/>
        <w:jc w:val="both"/>
      </w:pPr>
      <w:r>
        <w:rPr>
          <w:rFonts w:ascii="Arial" w:cs="Arial" w:eastAsia="Arial" w:hAnsi="Arial"/>
          <w:sz w:val="24"/>
          <w:szCs w:val="24"/>
        </w:rPr>
        <w:t xml:space="preserve">Ce projet a permis de combiner des notions de physique avancée avec le développement logiciel en Python. La simulation de la dilatation du temps offre une représentation visuelle et interactive d'un concept fondamental de la physique moderne, rendant accessible un phénomène habituellement difficile à appréhender de manière abstraite.</w:t>
      </w:r>
    </w:p>
    <w:p>
      <w:pPr>
        <w:spacing w:after="120"/>
        <w:jc w:val="both"/>
      </w:pPr>
      <w:r>
        <w:rPr>
          <w:rFonts w:ascii="Arial" w:cs="Arial" w:eastAsia="Arial" w:hAnsi="Arial"/>
          <w:sz w:val="24"/>
          <w:szCs w:val="24"/>
        </w:rPr>
        <w:t xml:space="preserve">La réalisation technique, de l'implémentation du facteur de Lorentz à la gestion des interactions utilisateur, a mobilisé des compétences en mathématiques, en physique et en programmation. Ce projet constitue une bonne illustration de l'intérêt pédagogique des simulations informatiques dans l'enseignement des sciences.</w:t>
      </w:r>
    </w:p>
    <w:p>
      <w:pPr>
        <w:spacing w:after="120"/>
        <w:jc w:val="both"/>
      </w:pPr>
      <w:r>
        <w:rPr>
          <w:rFonts w:ascii="Arial" w:cs="Arial" w:eastAsia="Arial" w:hAnsi="Arial"/>
          <w:sz w:val="24"/>
          <w:szCs w:val="24"/>
        </w:rPr>
        <w:t xml:space="preserve">Des pistes d'amélioration pourraient inclure l'ajout d'un graphique en temps réel montrant l'évolution de γ en fonction de β, l'intégration d'une animation de contraction des longueurs, ou encore un mode de visualisation du paradoxe des jumeaux.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Relativité Restreinte — Dilatation du Temps</w:t>
    </w:r>
    <w:r>
      <w:rPr>
        <w:sz w:val="18"/>
        <w:szCs w:val="18"/>
      </w:rPr>
      <w:t xml:space="preserve">	</w:t>
    </w:r>
    <w:r>
      <w:rPr>
        <w:rFonts w:ascii="Arial" w:cs="Arial" w:eastAsia="Arial" w:hAnsi="Arial"/>
        <w:color w:val="888888"/>
        <w:sz w:val="18"/>
        <w:szCs w:val="18"/>
      </w:rPr>
      <w:t xml:space="preserve">Kenzo, Nolan, Julian, Matisse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2026-05-05T06:55:45.917Z</dcterms:created>
  <dcterms:modified xsi:type="dcterms:W3CDTF">2026-05-05T06:55:45.917Z</dcterms:modified>
</cp:coreProperties>
</file>

<file path=docProps/custom.xml><?xml version="1.0" encoding="utf-8"?>
<Properties xmlns="http://schemas.openxmlformats.org/officeDocument/2006/custom-properties" xmlns:vt="http://schemas.openxmlformats.org/officeDocument/2006/docPropsVTypes"/>
</file>