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755BF" w14:textId="2D891612" w:rsidR="007D73F8" w:rsidRDefault="00CF6DC5" w:rsidP="00CF6DC5">
      <w:pPr>
        <w:pStyle w:val="Heading1"/>
      </w:pPr>
      <w:r>
        <w:t>Heat stress ranges</w:t>
      </w:r>
    </w:p>
    <w:p w14:paraId="7F207ADD" w14:textId="1C1677AF" w:rsidR="00840BB1" w:rsidRDefault="00840BB1" w:rsidP="00840BB1"/>
    <w:p w14:paraId="24FA30BE" w14:textId="1954D852" w:rsidR="00840BB1" w:rsidRDefault="00840BB1" w:rsidP="00840BB1">
      <w:r>
        <w:t xml:space="preserve">Many of the references cite </w:t>
      </w:r>
      <w:proofErr w:type="spellStart"/>
      <w:r>
        <w:t>Marai</w:t>
      </w:r>
      <w:proofErr w:type="spellEnd"/>
      <w:r>
        <w:t xml:space="preserve"> 2001 as the source of their THI formula. Here’s the text for that.</w:t>
      </w:r>
    </w:p>
    <w:p w14:paraId="3DE75EFD" w14:textId="77777777" w:rsidR="00840BB1" w:rsidRDefault="00840BB1" w:rsidP="00840BB1"/>
    <w:p w14:paraId="58C0D249" w14:textId="3D995284" w:rsidR="00840BB1" w:rsidRDefault="00840BB1" w:rsidP="00840BB1">
      <w:pPr>
        <w:ind w:left="720"/>
      </w:pPr>
      <w:r>
        <w:t>Using the modified formula:</w:t>
      </w:r>
    </w:p>
    <w:p w14:paraId="78502AC2" w14:textId="77777777" w:rsidR="00840BB1" w:rsidRDefault="00840BB1" w:rsidP="00840BB1">
      <w:pPr>
        <w:ind w:left="720"/>
      </w:pPr>
    </w:p>
    <w:p w14:paraId="3685586D" w14:textId="77777777" w:rsidR="00840BB1" w:rsidRDefault="00840BB1" w:rsidP="00840BB1">
      <w:pPr>
        <w:ind w:left="720"/>
      </w:pPr>
      <w:r>
        <w:t>THI = db8C ^ [(0.31 ^ 0.31 RH) (db8C ^ 14.4)]</w:t>
      </w:r>
    </w:p>
    <w:p w14:paraId="349E227E" w14:textId="77777777" w:rsidR="00840BB1" w:rsidRDefault="00840BB1" w:rsidP="00840BB1">
      <w:pPr>
        <w:ind w:left="720"/>
      </w:pPr>
    </w:p>
    <w:p w14:paraId="7F3BC0CC" w14:textId="66FB7C88" w:rsidR="00840BB1" w:rsidRDefault="00840BB1" w:rsidP="00840BB1">
      <w:pPr>
        <w:ind w:left="720"/>
      </w:pPr>
      <w:r>
        <w:t xml:space="preserve">where db8C dry bulb temperature in Celsius and RH = relative humidity percentage/ </w:t>
      </w:r>
      <w:proofErr w:type="gramStart"/>
      <w:r>
        <w:t>100..</w:t>
      </w:r>
      <w:proofErr w:type="gramEnd"/>
    </w:p>
    <w:p w14:paraId="53B6D367" w14:textId="27D90AC9" w:rsidR="00840BB1" w:rsidRDefault="00840BB1" w:rsidP="00840BB1"/>
    <w:p w14:paraId="4C7F77DE" w14:textId="77777777" w:rsidR="00840BB1" w:rsidRPr="00840BB1" w:rsidRDefault="00840BB1" w:rsidP="00840BB1"/>
    <w:p w14:paraId="014D9E2B" w14:textId="4F94F7E9" w:rsidR="00CF6DC5" w:rsidRPr="00CF6DC5" w:rsidRDefault="00CF6DC5">
      <w:pPr>
        <w:rPr>
          <w:sz w:val="16"/>
          <w:szCs w:val="16"/>
        </w:rPr>
      </w:pPr>
      <w:r>
        <w:t xml:space="preserve">Cattle- THI values – from </w:t>
      </w:r>
      <w:r w:rsidRPr="00CF6DC5">
        <w:rPr>
          <w:sz w:val="16"/>
          <w:szCs w:val="16"/>
        </w:rPr>
        <w:t>https://www.heatstress.info/heatstressinfo/TemperatureHumidityIndexCattle/tabid/1232/Default.aspx</w:t>
      </w:r>
    </w:p>
    <w:p w14:paraId="5C8BE094" w14:textId="0B6C8CD7" w:rsidR="00CF6DC5" w:rsidRDefault="00CF6DC5">
      <w:r>
        <w:t>No stress &lt;= 72</w:t>
      </w:r>
    </w:p>
    <w:p w14:paraId="5E63D897" w14:textId="6324A057" w:rsidR="00CF6DC5" w:rsidRDefault="00CF6DC5">
      <w:r>
        <w:t>Mild stress 73 – 78</w:t>
      </w:r>
    </w:p>
    <w:p w14:paraId="1526C08A" w14:textId="56B818B4" w:rsidR="00CF6DC5" w:rsidRDefault="00CF6DC5">
      <w:r>
        <w:t>Moderate stress 79 – 89</w:t>
      </w:r>
    </w:p>
    <w:p w14:paraId="3DEDA646" w14:textId="1AF53FB5" w:rsidR="00CF6DC5" w:rsidRDefault="00CF6DC5">
      <w:r>
        <w:t>Severe stress &gt; 90</w:t>
      </w:r>
    </w:p>
    <w:p w14:paraId="4D99BABA" w14:textId="1D9D3F59" w:rsidR="00D70791" w:rsidRDefault="00D70791"/>
    <w:p w14:paraId="349401A4" w14:textId="12356CA3" w:rsidR="00D70791" w:rsidRDefault="00D70791" w:rsidP="00D70791">
      <w:pPr>
        <w:pStyle w:val="ListParagraph"/>
        <w:numPr>
          <w:ilvl w:val="0"/>
          <w:numId w:val="1"/>
        </w:numPr>
      </w:pPr>
      <w:r>
        <w:t>From Brown-</w:t>
      </w:r>
      <w:proofErr w:type="spellStart"/>
      <w:r>
        <w:t>Brandl</w:t>
      </w:r>
      <w:proofErr w:type="spellEnd"/>
      <w:r>
        <w:t>, T. M. (2018) for beef cattle in US</w:t>
      </w:r>
    </w:p>
    <w:p w14:paraId="12D71458" w14:textId="77777777" w:rsidR="00D70791" w:rsidRDefault="00D70791" w:rsidP="00D70791">
      <w:r w:rsidRPr="00D70791">
        <w:rPr>
          <w:rStyle w:val="mtext"/>
          <w:rFonts w:ascii="STIXGeneral-Regular" w:eastAsiaTheme="majorEastAsia" w:hAnsi="STIXGeneral-Regular" w:cs="STIXGeneral-Regular"/>
          <w:color w:val="000000"/>
          <w:sz w:val="27"/>
          <w:szCs w:val="27"/>
          <w:bdr w:val="none" w:sz="0" w:space="0" w:color="auto" w:frame="1"/>
        </w:rPr>
        <w:t>THI</w:t>
      </w:r>
      <w:r w:rsidRPr="00D70791">
        <w:rPr>
          <w:rStyle w:val="mo"/>
          <w:rFonts w:ascii="STIXGeneral-Regular" w:eastAsiaTheme="majorEastAsia" w:hAnsi="STIXGeneral-Regular" w:cs="STIXGeneral-Regular"/>
          <w:color w:val="000000"/>
          <w:sz w:val="27"/>
          <w:szCs w:val="27"/>
          <w:bdr w:val="none" w:sz="0" w:space="0" w:color="auto" w:frame="1"/>
        </w:rPr>
        <w:t>=</w:t>
      </w:r>
      <w:r w:rsidRPr="00D70791">
        <w:rPr>
          <w:rStyle w:val="mn"/>
          <w:rFonts w:ascii="STIXGeneral-Regular" w:hAnsi="STIXGeneral-Regular" w:cs="STIXGeneral-Regular"/>
          <w:color w:val="000000"/>
          <w:sz w:val="27"/>
          <w:szCs w:val="27"/>
          <w:bdr w:val="none" w:sz="0" w:space="0" w:color="auto" w:frame="1"/>
        </w:rPr>
        <w:t>0.8</w:t>
      </w:r>
      <w:r w:rsidRPr="00D70791">
        <w:rPr>
          <w:rStyle w:val="mtext"/>
          <w:rFonts w:ascii="STIXGeneral-Regular" w:eastAsiaTheme="majorEastAsia" w:hAnsi="STIXGeneral-Regular" w:cs="STIXGeneral-Regular"/>
          <w:color w:val="000000"/>
          <w:sz w:val="27"/>
          <w:szCs w:val="27"/>
          <w:bdr w:val="none" w:sz="0" w:space="0" w:color="auto" w:frame="1"/>
        </w:rPr>
        <w:t>t</w:t>
      </w:r>
      <w:r w:rsidRPr="00D70791">
        <w:rPr>
          <w:rStyle w:val="mtext"/>
          <w:rFonts w:ascii="STIXGeneral-Regular" w:eastAsiaTheme="majorEastAsia" w:hAnsi="STIXGeneral-Regular" w:cs="STIXGeneral-Regular"/>
          <w:color w:val="000000"/>
          <w:sz w:val="19"/>
          <w:szCs w:val="19"/>
          <w:bdr w:val="none" w:sz="0" w:space="0" w:color="auto" w:frame="1"/>
        </w:rPr>
        <w:t>db</w:t>
      </w:r>
      <w:r w:rsidRPr="00D70791">
        <w:rPr>
          <w:rStyle w:val="mo"/>
          <w:rFonts w:ascii="STIXGeneral-Regular" w:eastAsiaTheme="majorEastAsia" w:hAnsi="STIXGeneral-Regular" w:cs="STIXGeneral-Regular"/>
          <w:color w:val="000000"/>
          <w:sz w:val="27"/>
          <w:szCs w:val="27"/>
          <w:bdr w:val="none" w:sz="0" w:space="0" w:color="auto" w:frame="1"/>
        </w:rPr>
        <w:t>+</w:t>
      </w:r>
      <w:proofErr w:type="gramStart"/>
      <w:r w:rsidRPr="00D70791">
        <w:rPr>
          <w:rStyle w:val="mtext"/>
          <w:rFonts w:ascii="STIXGeneral-Regular" w:eastAsiaTheme="majorEastAsia" w:hAnsi="STIXGeneral-Regular" w:cs="STIXGeneral-Regular"/>
          <w:color w:val="000000"/>
          <w:sz w:val="27"/>
          <w:szCs w:val="27"/>
          <w:bdr w:val="none" w:sz="0" w:space="0" w:color="auto" w:frame="1"/>
        </w:rPr>
        <w:t>RH</w:t>
      </w:r>
      <w:r w:rsidRPr="00D70791">
        <w:rPr>
          <w:rStyle w:val="mo"/>
          <w:rFonts w:ascii="STIXGeneral-Regular" w:eastAsiaTheme="majorEastAsia" w:hAnsi="STIXGeneral-Regular" w:cs="STIXGeneral-Regular"/>
          <w:color w:val="000000"/>
          <w:sz w:val="27"/>
          <w:szCs w:val="27"/>
          <w:bdr w:val="none" w:sz="0" w:space="0" w:color="auto" w:frame="1"/>
        </w:rPr>
        <w:t>(</w:t>
      </w:r>
      <w:proofErr w:type="gramEnd"/>
      <w:r w:rsidRPr="00D70791">
        <w:rPr>
          <w:rStyle w:val="mtext"/>
          <w:rFonts w:ascii="STIXGeneral-Regular" w:eastAsiaTheme="majorEastAsia" w:hAnsi="STIXGeneral-Regular" w:cs="STIXGeneral-Regular"/>
          <w:color w:val="000000"/>
          <w:sz w:val="27"/>
          <w:szCs w:val="27"/>
          <w:bdr w:val="none" w:sz="0" w:space="0" w:color="auto" w:frame="1"/>
        </w:rPr>
        <w:t>t</w:t>
      </w:r>
      <w:r w:rsidRPr="00D70791">
        <w:rPr>
          <w:rStyle w:val="mtext"/>
          <w:rFonts w:ascii="STIXGeneral-Regular" w:eastAsiaTheme="majorEastAsia" w:hAnsi="STIXGeneral-Regular" w:cs="STIXGeneral-Regular"/>
          <w:color w:val="000000"/>
          <w:sz w:val="19"/>
          <w:szCs w:val="19"/>
          <w:bdr w:val="none" w:sz="0" w:space="0" w:color="auto" w:frame="1"/>
        </w:rPr>
        <w:t>db</w:t>
      </w:r>
      <w:r w:rsidRPr="00D70791">
        <w:rPr>
          <w:rStyle w:val="mo"/>
          <w:rFonts w:ascii="STIXGeneral-Regular" w:eastAsiaTheme="majorEastAsia" w:hAnsi="STIXGeneral-Regular" w:cs="STIXGeneral-Regular"/>
          <w:color w:val="000000"/>
          <w:sz w:val="27"/>
          <w:szCs w:val="27"/>
          <w:bdr w:val="none" w:sz="0" w:space="0" w:color="auto" w:frame="1"/>
        </w:rPr>
        <w:t>−</w:t>
      </w:r>
      <w:r w:rsidRPr="00D70791">
        <w:rPr>
          <w:rStyle w:val="mn"/>
          <w:rFonts w:ascii="STIXGeneral-Regular" w:hAnsi="STIXGeneral-Regular" w:cs="STIXGeneral-Regular"/>
          <w:color w:val="000000"/>
          <w:sz w:val="27"/>
          <w:szCs w:val="27"/>
          <w:bdr w:val="none" w:sz="0" w:space="0" w:color="auto" w:frame="1"/>
        </w:rPr>
        <w:t>14.4</w:t>
      </w:r>
      <w:r w:rsidRPr="00D70791">
        <w:rPr>
          <w:rStyle w:val="mo"/>
          <w:rFonts w:ascii="STIXGeneral-Regular" w:eastAsiaTheme="majorEastAsia" w:hAnsi="STIXGeneral-Regular" w:cs="STIXGeneral-Regular"/>
          <w:color w:val="000000"/>
          <w:sz w:val="27"/>
          <w:szCs w:val="27"/>
          <w:bdr w:val="none" w:sz="0" w:space="0" w:color="auto" w:frame="1"/>
        </w:rPr>
        <w:t>)+</w:t>
      </w:r>
      <w:r w:rsidRPr="00D70791">
        <w:rPr>
          <w:rStyle w:val="mn"/>
          <w:rFonts w:ascii="STIXGeneral-Regular" w:hAnsi="STIXGeneral-Regular" w:cs="STIXGeneral-Regular"/>
          <w:color w:val="000000"/>
          <w:sz w:val="27"/>
          <w:szCs w:val="27"/>
          <w:bdr w:val="none" w:sz="0" w:space="0" w:color="auto" w:frame="1"/>
        </w:rPr>
        <w:t>46.4</w:t>
      </w:r>
    </w:p>
    <w:p w14:paraId="5CD94A5A" w14:textId="7D866C58" w:rsidR="00D70791" w:rsidRDefault="00D70791" w:rsidP="00D70791">
      <w:r>
        <w:rPr>
          <w:shd w:val="clear" w:color="auto" w:fill="FFFFFF"/>
        </w:rPr>
        <w:t xml:space="preserve">Normal, </w:t>
      </w:r>
      <w:r w:rsidRPr="00D70791">
        <w:rPr>
          <w:shd w:val="clear" w:color="auto" w:fill="FFFFFF"/>
        </w:rPr>
        <w:t>THI &lt; 74; alert, 74 &lt; THI &lt; 79; danger, 79 &lt; THI &lt; 84; and emergency, THI &gt; 84.</w:t>
      </w:r>
    </w:p>
    <w:p w14:paraId="20F6F60E" w14:textId="28F75505" w:rsidR="00D70791" w:rsidRDefault="00D70791" w:rsidP="00D70791"/>
    <w:p w14:paraId="33856DC5" w14:textId="10C96584" w:rsidR="00D70791" w:rsidRDefault="00D70791" w:rsidP="00D70791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Lallo</w:t>
      </w:r>
      <w:proofErr w:type="spellEnd"/>
      <w:r>
        <w:t xml:space="preserve"> et al</w:t>
      </w:r>
    </w:p>
    <w:p w14:paraId="19483FC3" w14:textId="50DEDE10" w:rsidR="00D70791" w:rsidRDefault="00D70791" w:rsidP="00D70791">
      <w:pPr>
        <w:pStyle w:val="ListParagraph"/>
        <w:numPr>
          <w:ilvl w:val="0"/>
          <w:numId w:val="1"/>
        </w:numPr>
      </w:pPr>
      <w:r>
        <w:rPr>
          <w:rFonts w:ascii="Helvetica Neue" w:hAnsi="Helvetica Neue" w:cs="Helvetica Neue"/>
        </w:rPr>
        <w:t>normal ≤ 74; moderate 75–78; severe 79–83; very severe (emergency) ≥ 84.</w:t>
      </w:r>
    </w:p>
    <w:p w14:paraId="1C9A50B8" w14:textId="67175B6A" w:rsidR="00D70791" w:rsidRDefault="00D70791"/>
    <w:p w14:paraId="061AD0AC" w14:textId="19C911C1" w:rsidR="00D70791" w:rsidRDefault="00D70791">
      <w:r>
        <w:t xml:space="preserve">Broilers – from </w:t>
      </w:r>
      <w:proofErr w:type="spellStart"/>
      <w:r>
        <w:t>Purswell</w:t>
      </w:r>
      <w:proofErr w:type="spellEnd"/>
      <w:r>
        <w:t>, J. L., Dozier, W. A. I., Olanrewaju, H. A., Davis, J. D., and Xin, H. (2012).</w:t>
      </w:r>
    </w:p>
    <w:p w14:paraId="1718201E" w14:textId="51BAE0D2" w:rsidR="00CF6DC5" w:rsidRDefault="00CF6DC5"/>
    <w:p w14:paraId="094FAB9D" w14:textId="3A61EBDB" w:rsidR="00D70791" w:rsidRDefault="00D70791" w:rsidP="00082D5D">
      <w:r>
        <w:t xml:space="preserve">THI greater than 20.8C, broilers show reduced </w:t>
      </w:r>
      <w:r w:rsidR="00082D5D">
        <w:t>performance</w:t>
      </w:r>
    </w:p>
    <w:p w14:paraId="7668D9E9" w14:textId="717F3600" w:rsidR="00082D5D" w:rsidRDefault="00082D5D">
      <w:r>
        <w:t>Non-sweating animals (</w:t>
      </w:r>
      <w:r w:rsidR="00983D62">
        <w:t>poultry</w:t>
      </w:r>
      <w:r>
        <w:t xml:space="preserve"> and pigs)</w:t>
      </w:r>
    </w:p>
    <w:p w14:paraId="65717AA3" w14:textId="4D7AB1B4" w:rsidR="00082D5D" w:rsidRDefault="00082D5D"/>
    <w:p w14:paraId="77003535" w14:textId="6494FCD8" w:rsidR="00082D5D" w:rsidRDefault="00082D5D">
      <w:r w:rsidRPr="00082D5D">
        <w:t>﻿The corresponding values for non-sweating animals such as poultry and pigs are as follows: normal &lt; 27.8, moderate 27.8–28.8, severe 28.9–29.9 and very severe (emergency) ≥ 30.0 (</w:t>
      </w:r>
      <w:proofErr w:type="spellStart"/>
      <w:r w:rsidRPr="00082D5D">
        <w:t>Marai</w:t>
      </w:r>
      <w:proofErr w:type="spellEnd"/>
      <w:r w:rsidRPr="00082D5D">
        <w:t xml:space="preserve"> et al. 2001).</w:t>
      </w:r>
    </w:p>
    <w:p w14:paraId="42B4CF66" w14:textId="2D85493B" w:rsidR="00C50805" w:rsidRDefault="00C50805"/>
    <w:p w14:paraId="6D5739B8" w14:textId="4D88BC30" w:rsidR="00C50805" w:rsidRDefault="00C50805" w:rsidP="00C50805">
      <w:pPr>
        <w:pStyle w:val="Heading1"/>
      </w:pPr>
      <w:r>
        <w:t>Sheep</w:t>
      </w:r>
    </w:p>
    <w:p w14:paraId="35C4BAC2" w14:textId="5E0BFA9A" w:rsidR="00C50805" w:rsidRDefault="00C50805" w:rsidP="00C50805">
      <w:r>
        <w:t>﻿The values obtained indicate the following: &lt;22.2 = absence of heat stress; 22.2 to &lt;23.3 = moderate heat stress: 23.3 to &lt;25.6 = severe heat stress and 25.6 and more = extreme severe heat stress (</w:t>
      </w:r>
      <w:proofErr w:type="spellStart"/>
      <w:r>
        <w:t>Marai</w:t>
      </w:r>
      <w:proofErr w:type="spellEnd"/>
      <w:r>
        <w:t xml:space="preserve"> et al., 2001).</w:t>
      </w:r>
    </w:p>
    <w:p w14:paraId="0C99C40F" w14:textId="02032C53" w:rsidR="00983D62" w:rsidRDefault="00983D62" w:rsidP="00C50805"/>
    <w:p w14:paraId="4EC81A75" w14:textId="6996048E" w:rsidR="00983D62" w:rsidRDefault="00983D62" w:rsidP="00C50805">
      <w:r>
        <w:t>Goats</w:t>
      </w:r>
    </w:p>
    <w:p w14:paraId="6AEE22B9" w14:textId="17CEDC8B" w:rsidR="00C50805" w:rsidRDefault="00DE7ED4" w:rsidP="00C50805">
      <w:r>
        <w:lastRenderedPageBreak/>
        <w:t xml:space="preserve">From </w:t>
      </w:r>
      <w:proofErr w:type="spellStart"/>
      <w:r>
        <w:t>Battini</w:t>
      </w:r>
      <w:proofErr w:type="spellEnd"/>
      <w:r>
        <w:t xml:space="preserve"> 2016, </w:t>
      </w:r>
      <w:r w:rsidRPr="00DE7ED4">
        <w:t xml:space="preserve">THI was calculated following the equation described by </w:t>
      </w:r>
      <w:proofErr w:type="spellStart"/>
      <w:r w:rsidRPr="00DE7ED4">
        <w:t>Marai</w:t>
      </w:r>
      <w:proofErr w:type="spellEnd"/>
      <w:r w:rsidRPr="00DE7ED4">
        <w:t xml:space="preserve"> et al. (2001) in order to take into </w:t>
      </w:r>
      <w:proofErr w:type="gramStart"/>
      <w:r w:rsidRPr="00DE7ED4">
        <w:t>account</w:t>
      </w:r>
      <w:proofErr w:type="gramEnd"/>
      <w:r w:rsidRPr="00DE7ED4">
        <w:t xml:space="preserve"> the effect of the interaction between temperature and relative humidity.</w:t>
      </w:r>
      <w:r>
        <w:t xml:space="preserve"> … </w:t>
      </w:r>
      <w:r w:rsidRPr="00DE7ED4">
        <w:t xml:space="preserve">THI ranges: cold (THI&lt;50; 6 sessions), neutral (50&lt;THI&lt;65; 4 sessions) and hot (THI&gt;65; 8 sessions). Two sessions performed during the last </w:t>
      </w:r>
      <w:proofErr w:type="gramStart"/>
      <w:r w:rsidRPr="00DE7ED4">
        <w:t>two time</w:t>
      </w:r>
      <w:proofErr w:type="gramEnd"/>
      <w:r w:rsidRPr="00DE7ED4">
        <w:t xml:space="preserve"> bands in spring had high THI (&gt;65) and were therefore allocated to the hot season (Table 3).</w:t>
      </w:r>
    </w:p>
    <w:p w14:paraId="089190E6" w14:textId="53706F31" w:rsidR="00983D62" w:rsidRDefault="00983D62" w:rsidP="00C5080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5"/>
        <w:gridCol w:w="840"/>
        <w:gridCol w:w="1260"/>
        <w:gridCol w:w="1260"/>
        <w:gridCol w:w="1080"/>
        <w:gridCol w:w="2340"/>
        <w:gridCol w:w="1615"/>
      </w:tblGrid>
      <w:tr w:rsidR="004D789E" w14:paraId="0DD75648" w14:textId="4CBEDB8C" w:rsidTr="004D789E">
        <w:tc>
          <w:tcPr>
            <w:tcW w:w="955" w:type="dxa"/>
          </w:tcPr>
          <w:p w14:paraId="60750336" w14:textId="179A97BF" w:rsidR="004D789E" w:rsidRDefault="004D789E" w:rsidP="00C50805">
            <w:r>
              <w:t>animal</w:t>
            </w:r>
          </w:p>
        </w:tc>
        <w:tc>
          <w:tcPr>
            <w:tcW w:w="840" w:type="dxa"/>
          </w:tcPr>
          <w:p w14:paraId="04091067" w14:textId="1C537D61" w:rsidR="004D789E" w:rsidRDefault="004D789E" w:rsidP="00C50805">
            <w:r>
              <w:t>No stress</w:t>
            </w:r>
          </w:p>
        </w:tc>
        <w:tc>
          <w:tcPr>
            <w:tcW w:w="1260" w:type="dxa"/>
          </w:tcPr>
          <w:p w14:paraId="6AC6F477" w14:textId="28F5FA82" w:rsidR="004D789E" w:rsidRDefault="004D789E" w:rsidP="00C50805">
            <w:r>
              <w:t>Moderate</w:t>
            </w:r>
          </w:p>
        </w:tc>
        <w:tc>
          <w:tcPr>
            <w:tcW w:w="1260" w:type="dxa"/>
          </w:tcPr>
          <w:p w14:paraId="6D9D6A25" w14:textId="66243B0C" w:rsidR="004D789E" w:rsidRDefault="004D789E" w:rsidP="00C50805">
            <w:r>
              <w:t>Severe</w:t>
            </w:r>
          </w:p>
        </w:tc>
        <w:tc>
          <w:tcPr>
            <w:tcW w:w="1080" w:type="dxa"/>
          </w:tcPr>
          <w:p w14:paraId="4AFE0374" w14:textId="7EA3A077" w:rsidR="004D789E" w:rsidRDefault="004D789E" w:rsidP="00C50805">
            <w:r>
              <w:t>Extreme</w:t>
            </w:r>
          </w:p>
        </w:tc>
        <w:tc>
          <w:tcPr>
            <w:tcW w:w="2340" w:type="dxa"/>
          </w:tcPr>
          <w:p w14:paraId="50F9692B" w14:textId="34203E31" w:rsidR="004D789E" w:rsidRDefault="004D789E" w:rsidP="00C50805">
            <w:r>
              <w:t>THI formula source</w:t>
            </w:r>
          </w:p>
        </w:tc>
        <w:tc>
          <w:tcPr>
            <w:tcW w:w="1615" w:type="dxa"/>
          </w:tcPr>
          <w:p w14:paraId="0B447243" w14:textId="081B38C7" w:rsidR="004D789E" w:rsidRDefault="004D789E" w:rsidP="00C50805">
            <w:r>
              <w:t xml:space="preserve">Stress </w:t>
            </w:r>
            <w:proofErr w:type="spellStart"/>
            <w:r>
              <w:t>cutoffs</w:t>
            </w:r>
            <w:proofErr w:type="spellEnd"/>
            <w:r>
              <w:t xml:space="preserve"> source</w:t>
            </w:r>
          </w:p>
        </w:tc>
      </w:tr>
      <w:tr w:rsidR="004D789E" w14:paraId="413E198E" w14:textId="5547C9E4" w:rsidTr="004D789E">
        <w:tc>
          <w:tcPr>
            <w:tcW w:w="955" w:type="dxa"/>
          </w:tcPr>
          <w:p w14:paraId="1915B32B" w14:textId="268896E7" w:rsidR="004D789E" w:rsidRDefault="004D789E" w:rsidP="00C50805">
            <w:r>
              <w:t>cattle</w:t>
            </w:r>
          </w:p>
        </w:tc>
        <w:tc>
          <w:tcPr>
            <w:tcW w:w="840" w:type="dxa"/>
          </w:tcPr>
          <w:p w14:paraId="70873622" w14:textId="2FD47124" w:rsidR="004D789E" w:rsidRDefault="004D789E" w:rsidP="00C50805">
            <w:r>
              <w:rPr>
                <w:rFonts w:ascii="Helvetica Neue" w:hAnsi="Helvetica Neue" w:cs="Helvetica Neue"/>
              </w:rPr>
              <w:t>≤ 74</w:t>
            </w:r>
          </w:p>
        </w:tc>
        <w:tc>
          <w:tcPr>
            <w:tcW w:w="1260" w:type="dxa"/>
          </w:tcPr>
          <w:p w14:paraId="0E34BB6D" w14:textId="1346A3FC" w:rsidR="004D789E" w:rsidRDefault="004D789E" w:rsidP="00C50805">
            <w:r>
              <w:rPr>
                <w:rFonts w:ascii="Helvetica Neue" w:hAnsi="Helvetica Neue" w:cs="Helvetica Neue"/>
              </w:rPr>
              <w:t>75–78</w:t>
            </w:r>
          </w:p>
        </w:tc>
        <w:tc>
          <w:tcPr>
            <w:tcW w:w="1260" w:type="dxa"/>
          </w:tcPr>
          <w:p w14:paraId="18070EDB" w14:textId="69BB8F96" w:rsidR="004D789E" w:rsidRDefault="004D789E" w:rsidP="00C50805">
            <w:r>
              <w:rPr>
                <w:rFonts w:ascii="Helvetica Neue" w:hAnsi="Helvetica Neue" w:cs="Helvetica Neue"/>
              </w:rPr>
              <w:t>79–83</w:t>
            </w:r>
          </w:p>
        </w:tc>
        <w:tc>
          <w:tcPr>
            <w:tcW w:w="1080" w:type="dxa"/>
          </w:tcPr>
          <w:p w14:paraId="61D19B42" w14:textId="2F07EC96" w:rsidR="004D789E" w:rsidRDefault="004D789E" w:rsidP="00C50805">
            <w:r>
              <w:rPr>
                <w:rFonts w:ascii="Helvetica Neue" w:hAnsi="Helvetica Neue" w:cs="Helvetica Neue"/>
              </w:rPr>
              <w:t>≥ 84</w:t>
            </w:r>
          </w:p>
        </w:tc>
        <w:tc>
          <w:tcPr>
            <w:tcW w:w="2340" w:type="dxa"/>
          </w:tcPr>
          <w:p w14:paraId="3E190000" w14:textId="4249643D" w:rsidR="004D789E" w:rsidRDefault="004D789E" w:rsidP="00C50805">
            <w:pPr>
              <w:rPr>
                <w:rFonts w:ascii="Helvetica Neue" w:hAnsi="Helvetica Neue" w:cs="Helvetica Neue"/>
              </w:rPr>
            </w:pPr>
          </w:p>
        </w:tc>
        <w:tc>
          <w:tcPr>
            <w:tcW w:w="1615" w:type="dxa"/>
          </w:tcPr>
          <w:p w14:paraId="6021E779" w14:textId="1497590C" w:rsidR="004D789E" w:rsidRDefault="007C3BE2" w:rsidP="00C50805">
            <w:pPr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Hahn, et al, 2009</w:t>
            </w:r>
          </w:p>
        </w:tc>
      </w:tr>
      <w:tr w:rsidR="004D789E" w14:paraId="65A8B2E9" w14:textId="3F55C588" w:rsidTr="004D789E">
        <w:tc>
          <w:tcPr>
            <w:tcW w:w="955" w:type="dxa"/>
          </w:tcPr>
          <w:p w14:paraId="0667299E" w14:textId="1370F2A3" w:rsidR="004D789E" w:rsidRDefault="004D789E" w:rsidP="00C50805">
            <w:r>
              <w:t>sheep</w:t>
            </w:r>
          </w:p>
        </w:tc>
        <w:tc>
          <w:tcPr>
            <w:tcW w:w="840" w:type="dxa"/>
          </w:tcPr>
          <w:p w14:paraId="3EB43B62" w14:textId="539610D2" w:rsidR="004D789E" w:rsidRDefault="004D789E" w:rsidP="00C50805">
            <w:r>
              <w:t>&lt;22.2</w:t>
            </w:r>
          </w:p>
        </w:tc>
        <w:tc>
          <w:tcPr>
            <w:tcW w:w="1260" w:type="dxa"/>
          </w:tcPr>
          <w:p w14:paraId="23570628" w14:textId="7F416C67" w:rsidR="004D789E" w:rsidRDefault="004D789E" w:rsidP="00C50805">
            <w:r>
              <w:t>22.2 to &lt;23.3</w:t>
            </w:r>
          </w:p>
        </w:tc>
        <w:tc>
          <w:tcPr>
            <w:tcW w:w="1260" w:type="dxa"/>
          </w:tcPr>
          <w:p w14:paraId="5C93E10E" w14:textId="5671AB93" w:rsidR="004D789E" w:rsidRDefault="004D789E" w:rsidP="00C50805">
            <w:r>
              <w:t>23.3 to &lt;25.6</w:t>
            </w:r>
          </w:p>
        </w:tc>
        <w:tc>
          <w:tcPr>
            <w:tcW w:w="1080" w:type="dxa"/>
          </w:tcPr>
          <w:p w14:paraId="302DBC97" w14:textId="55725595" w:rsidR="004D789E" w:rsidRDefault="004D789E" w:rsidP="00C50805">
            <w:r w:rsidRPr="00082D5D">
              <w:t>≥</w:t>
            </w:r>
            <w:r>
              <w:t xml:space="preserve"> 25.6</w:t>
            </w:r>
          </w:p>
        </w:tc>
        <w:tc>
          <w:tcPr>
            <w:tcW w:w="2340" w:type="dxa"/>
          </w:tcPr>
          <w:p w14:paraId="5887D5C3" w14:textId="77777777" w:rsidR="004D789E" w:rsidRPr="00082D5D" w:rsidRDefault="004D789E" w:rsidP="00C50805"/>
        </w:tc>
        <w:tc>
          <w:tcPr>
            <w:tcW w:w="1615" w:type="dxa"/>
          </w:tcPr>
          <w:p w14:paraId="6E206E22" w14:textId="77777777" w:rsidR="004D789E" w:rsidRPr="00082D5D" w:rsidRDefault="004D789E" w:rsidP="00C50805"/>
        </w:tc>
      </w:tr>
      <w:tr w:rsidR="00397B35" w14:paraId="074E208A" w14:textId="77777777" w:rsidTr="004D789E">
        <w:tc>
          <w:tcPr>
            <w:tcW w:w="955" w:type="dxa"/>
          </w:tcPr>
          <w:p w14:paraId="076E5946" w14:textId="73F26D37" w:rsidR="00397B35" w:rsidRDefault="00397B35" w:rsidP="00C50805">
            <w:r>
              <w:t>yak</w:t>
            </w:r>
          </w:p>
        </w:tc>
        <w:tc>
          <w:tcPr>
            <w:tcW w:w="840" w:type="dxa"/>
          </w:tcPr>
          <w:p w14:paraId="2F638828" w14:textId="6DD82B80" w:rsidR="00397B35" w:rsidRDefault="00CE1921" w:rsidP="00C50805">
            <w:r>
              <w:t>52</w:t>
            </w:r>
          </w:p>
        </w:tc>
        <w:tc>
          <w:tcPr>
            <w:tcW w:w="1260" w:type="dxa"/>
          </w:tcPr>
          <w:p w14:paraId="186B2313" w14:textId="351EC71D" w:rsidR="00397B35" w:rsidRDefault="00CE1921" w:rsidP="00C50805">
            <w:r>
              <w:t>55</w:t>
            </w:r>
          </w:p>
        </w:tc>
        <w:tc>
          <w:tcPr>
            <w:tcW w:w="1260" w:type="dxa"/>
          </w:tcPr>
          <w:p w14:paraId="612D60C0" w14:textId="6299D78A" w:rsidR="00397B35" w:rsidRDefault="00CE1921" w:rsidP="00C50805">
            <w:r>
              <w:t>59</w:t>
            </w:r>
          </w:p>
        </w:tc>
        <w:tc>
          <w:tcPr>
            <w:tcW w:w="1080" w:type="dxa"/>
          </w:tcPr>
          <w:p w14:paraId="24E57F37" w14:textId="6B145795" w:rsidR="00397B35" w:rsidRDefault="00CE1921" w:rsidP="00C50805">
            <w:r>
              <w:t>62</w:t>
            </w:r>
          </w:p>
        </w:tc>
        <w:tc>
          <w:tcPr>
            <w:tcW w:w="2340" w:type="dxa"/>
          </w:tcPr>
          <w:p w14:paraId="134E362D" w14:textId="72E68AD1" w:rsidR="00397B35" w:rsidRDefault="00CE1921" w:rsidP="00CE1921">
            <w:pPr>
              <w:jc w:val="center"/>
            </w:pPr>
            <w:r w:rsidRPr="00CE1921">
              <w:t>﻿Krishnan et al. 2009a</w:t>
            </w:r>
          </w:p>
        </w:tc>
        <w:tc>
          <w:tcPr>
            <w:tcW w:w="1615" w:type="dxa"/>
          </w:tcPr>
          <w:p w14:paraId="3A8123FB" w14:textId="4292399D" w:rsidR="00397B35" w:rsidRDefault="00CE1921" w:rsidP="004D789E">
            <w:r>
              <w:t>Estimated from Fig 1 in Krishnan et al., 2018</w:t>
            </w:r>
          </w:p>
        </w:tc>
      </w:tr>
      <w:tr w:rsidR="004D789E" w14:paraId="3DF26356" w14:textId="49A26051" w:rsidTr="004D789E">
        <w:tc>
          <w:tcPr>
            <w:tcW w:w="955" w:type="dxa"/>
          </w:tcPr>
          <w:p w14:paraId="4CB12B7A" w14:textId="09721419" w:rsidR="004D789E" w:rsidRDefault="004D789E" w:rsidP="00C50805">
            <w:r>
              <w:t>Goats, dairy</w:t>
            </w:r>
          </w:p>
        </w:tc>
        <w:tc>
          <w:tcPr>
            <w:tcW w:w="840" w:type="dxa"/>
          </w:tcPr>
          <w:p w14:paraId="43DDB83E" w14:textId="09DF6870" w:rsidR="004D789E" w:rsidRPr="00082D5D" w:rsidRDefault="004D789E" w:rsidP="00C50805">
            <w:r>
              <w:t>&lt; 70</w:t>
            </w:r>
          </w:p>
        </w:tc>
        <w:tc>
          <w:tcPr>
            <w:tcW w:w="1260" w:type="dxa"/>
          </w:tcPr>
          <w:p w14:paraId="2BF202F5" w14:textId="68327599" w:rsidR="004D789E" w:rsidRPr="00082D5D" w:rsidRDefault="004D789E" w:rsidP="00C50805">
            <w:r>
              <w:t>70-79</w:t>
            </w:r>
          </w:p>
        </w:tc>
        <w:tc>
          <w:tcPr>
            <w:tcW w:w="1260" w:type="dxa"/>
          </w:tcPr>
          <w:p w14:paraId="7E684213" w14:textId="2A4FB976" w:rsidR="004D789E" w:rsidRPr="00082D5D" w:rsidRDefault="004D789E" w:rsidP="00C50805">
            <w:r>
              <w:t>80-89</w:t>
            </w:r>
          </w:p>
        </w:tc>
        <w:tc>
          <w:tcPr>
            <w:tcW w:w="1080" w:type="dxa"/>
          </w:tcPr>
          <w:p w14:paraId="00BBC147" w14:textId="13AB7C05" w:rsidR="004D789E" w:rsidRPr="00082D5D" w:rsidRDefault="004D789E" w:rsidP="00C50805">
            <w:r>
              <w:t>89</w:t>
            </w:r>
          </w:p>
        </w:tc>
        <w:tc>
          <w:tcPr>
            <w:tcW w:w="2340" w:type="dxa"/>
          </w:tcPr>
          <w:p w14:paraId="57AC8FE0" w14:textId="77777777" w:rsidR="004D789E" w:rsidRDefault="004D789E" w:rsidP="004D789E">
            <w:pPr>
              <w:rPr>
                <w:lang w:val="en-US"/>
              </w:rPr>
            </w:pPr>
            <w:r>
              <w:t>El-</w:t>
            </w:r>
            <w:proofErr w:type="spellStart"/>
            <w:r>
              <w:t>Tarabany</w:t>
            </w:r>
            <w:proofErr w:type="spellEnd"/>
            <w:r>
              <w:t>, M. S., et al (2017). doi:10.1007/s00484-016-1191-2.</w:t>
            </w:r>
          </w:p>
          <w:p w14:paraId="7555E7E7" w14:textId="102A1DAA" w:rsidR="004D789E" w:rsidRPr="00082D5D" w:rsidRDefault="004D789E" w:rsidP="00C50805">
            <w:r>
              <w:t>Based on ruminant</w:t>
            </w:r>
          </w:p>
        </w:tc>
        <w:tc>
          <w:tcPr>
            <w:tcW w:w="1615" w:type="dxa"/>
          </w:tcPr>
          <w:p w14:paraId="4B264CCB" w14:textId="6BEB8428" w:rsidR="004D789E" w:rsidRDefault="004D789E" w:rsidP="004D789E">
            <w:pPr>
              <w:rPr>
                <w:lang w:val="en-US"/>
              </w:rPr>
            </w:pPr>
            <w:r>
              <w:t>El-</w:t>
            </w:r>
            <w:proofErr w:type="spellStart"/>
            <w:r>
              <w:t>Tarabany</w:t>
            </w:r>
            <w:proofErr w:type="spellEnd"/>
            <w:r>
              <w:t>, M. S., et al (2017). doi:10.1007/s00484-016-1191-2.</w:t>
            </w:r>
          </w:p>
          <w:p w14:paraId="7BAE7902" w14:textId="77777777" w:rsidR="004D789E" w:rsidRPr="00082D5D" w:rsidRDefault="004D789E" w:rsidP="00C50805"/>
        </w:tc>
      </w:tr>
      <w:tr w:rsidR="004D789E" w14:paraId="5FD2E6DA" w14:textId="4B92236F" w:rsidTr="004D789E">
        <w:tc>
          <w:tcPr>
            <w:tcW w:w="955" w:type="dxa"/>
          </w:tcPr>
          <w:p w14:paraId="13E48E7B" w14:textId="2F986001" w:rsidR="004D789E" w:rsidRDefault="004D789E" w:rsidP="00C50805">
            <w:r>
              <w:t>pig</w:t>
            </w:r>
          </w:p>
        </w:tc>
        <w:tc>
          <w:tcPr>
            <w:tcW w:w="840" w:type="dxa"/>
          </w:tcPr>
          <w:p w14:paraId="423AC57F" w14:textId="4CAD616D" w:rsidR="004D789E" w:rsidRDefault="004D789E" w:rsidP="00C50805">
            <w:r w:rsidRPr="00082D5D">
              <w:t>&lt; 27.8</w:t>
            </w:r>
          </w:p>
        </w:tc>
        <w:tc>
          <w:tcPr>
            <w:tcW w:w="1260" w:type="dxa"/>
          </w:tcPr>
          <w:p w14:paraId="63B7778B" w14:textId="2E533BDF" w:rsidR="004D789E" w:rsidRDefault="004D789E" w:rsidP="00C50805">
            <w:r w:rsidRPr="00082D5D">
              <w:t>27.8–28.8</w:t>
            </w:r>
          </w:p>
        </w:tc>
        <w:tc>
          <w:tcPr>
            <w:tcW w:w="1260" w:type="dxa"/>
          </w:tcPr>
          <w:p w14:paraId="10720A9B" w14:textId="64FA7A99" w:rsidR="004D789E" w:rsidRDefault="004D789E" w:rsidP="00C50805">
            <w:r w:rsidRPr="00082D5D">
              <w:t>28.9–29.9</w:t>
            </w:r>
          </w:p>
        </w:tc>
        <w:tc>
          <w:tcPr>
            <w:tcW w:w="1080" w:type="dxa"/>
          </w:tcPr>
          <w:p w14:paraId="020DA07F" w14:textId="6D2414D8" w:rsidR="004D789E" w:rsidRDefault="004D789E" w:rsidP="00C50805">
            <w:r w:rsidRPr="00082D5D">
              <w:t>≥ 30.0</w:t>
            </w:r>
          </w:p>
        </w:tc>
        <w:tc>
          <w:tcPr>
            <w:tcW w:w="2340" w:type="dxa"/>
          </w:tcPr>
          <w:p w14:paraId="406633EA" w14:textId="1558BDF4" w:rsidR="004D789E" w:rsidRPr="00082D5D" w:rsidRDefault="00146106" w:rsidP="00C50805">
            <w:r w:rsidRPr="00146106">
              <w:t>﻿</w:t>
            </w:r>
            <w:proofErr w:type="spellStart"/>
            <w:r w:rsidRPr="00146106">
              <w:t>Zumbach</w:t>
            </w:r>
            <w:proofErr w:type="spellEnd"/>
            <w:r w:rsidRPr="00146106">
              <w:t xml:space="preserve"> et al. (2008)</w:t>
            </w:r>
          </w:p>
        </w:tc>
        <w:tc>
          <w:tcPr>
            <w:tcW w:w="1615" w:type="dxa"/>
          </w:tcPr>
          <w:p w14:paraId="2BE262A3" w14:textId="6CD898C3" w:rsidR="004D789E" w:rsidRPr="00082D5D" w:rsidRDefault="007C3BE2" w:rsidP="00C50805">
            <w:r w:rsidRPr="007C3BE2">
              <w:t>﻿</w:t>
            </w:r>
            <w:proofErr w:type="spellStart"/>
            <w:r w:rsidRPr="007C3BE2">
              <w:t>Marai</w:t>
            </w:r>
            <w:proofErr w:type="spellEnd"/>
            <w:r w:rsidRPr="007C3BE2">
              <w:t xml:space="preserve"> et al. 2001</w:t>
            </w:r>
          </w:p>
        </w:tc>
      </w:tr>
      <w:tr w:rsidR="004D789E" w14:paraId="1F75E808" w14:textId="4E16C7F4" w:rsidTr="004D789E">
        <w:tc>
          <w:tcPr>
            <w:tcW w:w="955" w:type="dxa"/>
          </w:tcPr>
          <w:p w14:paraId="38EF1450" w14:textId="53652935" w:rsidR="004D789E" w:rsidRDefault="004D789E" w:rsidP="00C50805">
            <w:r>
              <w:t>chicken</w:t>
            </w:r>
          </w:p>
        </w:tc>
        <w:tc>
          <w:tcPr>
            <w:tcW w:w="840" w:type="dxa"/>
          </w:tcPr>
          <w:p w14:paraId="46EB06BF" w14:textId="327F7EF2" w:rsidR="004D789E" w:rsidRDefault="004D789E" w:rsidP="00C50805">
            <w:r w:rsidRPr="00082D5D">
              <w:t>&lt; 27.8</w:t>
            </w:r>
          </w:p>
        </w:tc>
        <w:tc>
          <w:tcPr>
            <w:tcW w:w="1260" w:type="dxa"/>
          </w:tcPr>
          <w:p w14:paraId="416EA461" w14:textId="4A2CB247" w:rsidR="004D789E" w:rsidRDefault="004D789E" w:rsidP="00C50805">
            <w:r w:rsidRPr="00082D5D">
              <w:t>27.8–28.8</w:t>
            </w:r>
          </w:p>
        </w:tc>
        <w:tc>
          <w:tcPr>
            <w:tcW w:w="1260" w:type="dxa"/>
          </w:tcPr>
          <w:p w14:paraId="4CA4F2A8" w14:textId="783E2EFF" w:rsidR="004D789E" w:rsidRDefault="004D789E" w:rsidP="00C50805">
            <w:r w:rsidRPr="00082D5D">
              <w:t>28.9–29.9</w:t>
            </w:r>
          </w:p>
        </w:tc>
        <w:tc>
          <w:tcPr>
            <w:tcW w:w="1080" w:type="dxa"/>
          </w:tcPr>
          <w:p w14:paraId="6EFDF391" w14:textId="1C40A1ED" w:rsidR="004D789E" w:rsidRDefault="004D789E" w:rsidP="00C50805">
            <w:r w:rsidRPr="00082D5D">
              <w:t>≥ 30.0</w:t>
            </w:r>
          </w:p>
        </w:tc>
        <w:tc>
          <w:tcPr>
            <w:tcW w:w="2340" w:type="dxa"/>
          </w:tcPr>
          <w:p w14:paraId="5B01A8E4" w14:textId="77777777" w:rsidR="004D789E" w:rsidRPr="00082D5D" w:rsidRDefault="004D789E" w:rsidP="00C50805"/>
        </w:tc>
        <w:tc>
          <w:tcPr>
            <w:tcW w:w="1615" w:type="dxa"/>
          </w:tcPr>
          <w:p w14:paraId="69B91714" w14:textId="413748A9" w:rsidR="004D789E" w:rsidRPr="00082D5D" w:rsidRDefault="007C3BE2" w:rsidP="00C50805">
            <w:r w:rsidRPr="007C3BE2">
              <w:t>﻿</w:t>
            </w:r>
            <w:proofErr w:type="spellStart"/>
            <w:r w:rsidRPr="007C3BE2">
              <w:t>Marai</w:t>
            </w:r>
            <w:proofErr w:type="spellEnd"/>
            <w:r w:rsidRPr="007C3BE2">
              <w:t xml:space="preserve"> et al. 2001</w:t>
            </w:r>
          </w:p>
        </w:tc>
      </w:tr>
      <w:tr w:rsidR="00CB7C96" w14:paraId="2D2DF1D3" w14:textId="77777777" w:rsidTr="004D789E">
        <w:tc>
          <w:tcPr>
            <w:tcW w:w="955" w:type="dxa"/>
          </w:tcPr>
          <w:p w14:paraId="5670EC33" w14:textId="25F93AE0" w:rsidR="00CB7C96" w:rsidRDefault="00CB7C96" w:rsidP="00CB7C96">
            <w:bookmarkStart w:id="0" w:name="_GoBack" w:colFirst="2" w:colLast="4"/>
            <w:r>
              <w:t>Swine</w:t>
            </w:r>
          </w:p>
        </w:tc>
        <w:tc>
          <w:tcPr>
            <w:tcW w:w="840" w:type="dxa"/>
          </w:tcPr>
          <w:p w14:paraId="4522453B" w14:textId="1211FE91" w:rsidR="00CB7C96" w:rsidRPr="00082D5D" w:rsidRDefault="00CB7C96" w:rsidP="00CB7C96">
            <w:r>
              <w:t>0</w:t>
            </w:r>
          </w:p>
        </w:tc>
        <w:tc>
          <w:tcPr>
            <w:tcW w:w="1260" w:type="dxa"/>
          </w:tcPr>
          <w:p w14:paraId="4EC6C711" w14:textId="36A3C713" w:rsidR="00CB7C96" w:rsidRPr="00082D5D" w:rsidRDefault="00CB7C96" w:rsidP="00CB7C96">
            <w:r w:rsidRPr="00082D5D">
              <w:t>27.8–28.8</w:t>
            </w:r>
          </w:p>
        </w:tc>
        <w:tc>
          <w:tcPr>
            <w:tcW w:w="1260" w:type="dxa"/>
          </w:tcPr>
          <w:p w14:paraId="3ACFC0D3" w14:textId="4418FC51" w:rsidR="00CB7C96" w:rsidRPr="00082D5D" w:rsidRDefault="00CB7C96" w:rsidP="00CB7C96">
            <w:r w:rsidRPr="00082D5D">
              <w:t>28.9–29.9</w:t>
            </w:r>
          </w:p>
        </w:tc>
        <w:tc>
          <w:tcPr>
            <w:tcW w:w="1080" w:type="dxa"/>
          </w:tcPr>
          <w:p w14:paraId="4F253CD6" w14:textId="0D949628" w:rsidR="00CB7C96" w:rsidRPr="00082D5D" w:rsidRDefault="00CB7C96" w:rsidP="00CB7C96">
            <w:r w:rsidRPr="00082D5D">
              <w:t>≥ 30.0</w:t>
            </w:r>
          </w:p>
        </w:tc>
        <w:tc>
          <w:tcPr>
            <w:tcW w:w="2340" w:type="dxa"/>
          </w:tcPr>
          <w:p w14:paraId="629BC3F1" w14:textId="77777777" w:rsidR="00CB7C96" w:rsidRDefault="00CB7C96" w:rsidP="00CB7C96"/>
        </w:tc>
        <w:tc>
          <w:tcPr>
            <w:tcW w:w="1615" w:type="dxa"/>
          </w:tcPr>
          <w:p w14:paraId="0CB8EB77" w14:textId="77777777" w:rsidR="00CB7C96" w:rsidRPr="007C3BE2" w:rsidRDefault="00CB7C96" w:rsidP="00CB7C96"/>
        </w:tc>
      </w:tr>
      <w:bookmarkEnd w:id="0"/>
      <w:tr w:rsidR="004874BE" w14:paraId="09A4C7E0" w14:textId="77777777" w:rsidTr="004D789E">
        <w:tc>
          <w:tcPr>
            <w:tcW w:w="955" w:type="dxa"/>
          </w:tcPr>
          <w:p w14:paraId="448AFFFF" w14:textId="055A537C" w:rsidR="004874BE" w:rsidRDefault="004874BE" w:rsidP="004874BE">
            <w:r>
              <w:t>broilers</w:t>
            </w:r>
          </w:p>
        </w:tc>
        <w:tc>
          <w:tcPr>
            <w:tcW w:w="840" w:type="dxa"/>
          </w:tcPr>
          <w:p w14:paraId="238BBF77" w14:textId="1A9B10B1" w:rsidR="004874BE" w:rsidRPr="00082D5D" w:rsidRDefault="004874BE" w:rsidP="004874BE">
            <w:r w:rsidRPr="00082D5D">
              <w:t>&lt; 27.8</w:t>
            </w:r>
          </w:p>
        </w:tc>
        <w:tc>
          <w:tcPr>
            <w:tcW w:w="1260" w:type="dxa"/>
          </w:tcPr>
          <w:p w14:paraId="433D0C4D" w14:textId="49DC1AEF" w:rsidR="004874BE" w:rsidRPr="00082D5D" w:rsidRDefault="004874BE" w:rsidP="004874BE">
            <w:r w:rsidRPr="00082D5D">
              <w:t>27.8–28.8</w:t>
            </w:r>
          </w:p>
        </w:tc>
        <w:tc>
          <w:tcPr>
            <w:tcW w:w="1260" w:type="dxa"/>
          </w:tcPr>
          <w:p w14:paraId="180DB82C" w14:textId="1C022B5A" w:rsidR="004874BE" w:rsidRPr="00082D5D" w:rsidRDefault="004874BE" w:rsidP="004874BE">
            <w:r w:rsidRPr="00082D5D">
              <w:t>28.9–29.9</w:t>
            </w:r>
          </w:p>
        </w:tc>
        <w:tc>
          <w:tcPr>
            <w:tcW w:w="1080" w:type="dxa"/>
          </w:tcPr>
          <w:p w14:paraId="615F2D6D" w14:textId="1A45DE16" w:rsidR="004874BE" w:rsidRPr="00082D5D" w:rsidRDefault="004874BE" w:rsidP="004874BE">
            <w:r w:rsidRPr="00082D5D">
              <w:t>≥ 30.0</w:t>
            </w:r>
          </w:p>
        </w:tc>
        <w:tc>
          <w:tcPr>
            <w:tcW w:w="2340" w:type="dxa"/>
          </w:tcPr>
          <w:p w14:paraId="75E429EA" w14:textId="77777777" w:rsidR="004874BE" w:rsidRDefault="004874BE" w:rsidP="004874BE">
            <w:r>
              <w:t>﻿Tao and</w:t>
            </w:r>
          </w:p>
          <w:p w14:paraId="1B5E8657" w14:textId="010D25E2" w:rsidR="004874BE" w:rsidRPr="00082D5D" w:rsidRDefault="004874BE" w:rsidP="004874BE">
            <w:r>
              <w:t>Xin (2003) for broilers, with wet bulb correction</w:t>
            </w:r>
          </w:p>
        </w:tc>
        <w:tc>
          <w:tcPr>
            <w:tcW w:w="1615" w:type="dxa"/>
          </w:tcPr>
          <w:p w14:paraId="145485FC" w14:textId="77777777" w:rsidR="004874BE" w:rsidRPr="007C3BE2" w:rsidRDefault="004874BE" w:rsidP="004874BE"/>
        </w:tc>
      </w:tr>
      <w:tr w:rsidR="004874BE" w14:paraId="1ACDD49B" w14:textId="77777777" w:rsidTr="004D789E">
        <w:tc>
          <w:tcPr>
            <w:tcW w:w="955" w:type="dxa"/>
          </w:tcPr>
          <w:p w14:paraId="1194A01D" w14:textId="60C90B98" w:rsidR="004874BE" w:rsidRDefault="004874BE" w:rsidP="004874BE">
            <w:r>
              <w:t>layers</w:t>
            </w:r>
          </w:p>
        </w:tc>
        <w:tc>
          <w:tcPr>
            <w:tcW w:w="840" w:type="dxa"/>
          </w:tcPr>
          <w:p w14:paraId="0DCF33CF" w14:textId="3787131F" w:rsidR="004874BE" w:rsidRPr="00082D5D" w:rsidRDefault="004874BE" w:rsidP="004874BE">
            <w:r w:rsidRPr="00082D5D">
              <w:t>&lt; 27.8</w:t>
            </w:r>
          </w:p>
        </w:tc>
        <w:tc>
          <w:tcPr>
            <w:tcW w:w="1260" w:type="dxa"/>
          </w:tcPr>
          <w:p w14:paraId="6103334F" w14:textId="53F5625A" w:rsidR="004874BE" w:rsidRPr="00082D5D" w:rsidRDefault="004874BE" w:rsidP="004874BE">
            <w:r w:rsidRPr="00082D5D">
              <w:t>27.8–28.8</w:t>
            </w:r>
          </w:p>
        </w:tc>
        <w:tc>
          <w:tcPr>
            <w:tcW w:w="1260" w:type="dxa"/>
          </w:tcPr>
          <w:p w14:paraId="52D456DC" w14:textId="07CB0B96" w:rsidR="004874BE" w:rsidRPr="00082D5D" w:rsidRDefault="004874BE" w:rsidP="004874BE">
            <w:r w:rsidRPr="00082D5D">
              <w:t>28.9–29.9</w:t>
            </w:r>
          </w:p>
        </w:tc>
        <w:tc>
          <w:tcPr>
            <w:tcW w:w="1080" w:type="dxa"/>
          </w:tcPr>
          <w:p w14:paraId="371504BF" w14:textId="13883AC2" w:rsidR="004874BE" w:rsidRPr="00082D5D" w:rsidRDefault="004874BE" w:rsidP="004874BE">
            <w:r w:rsidRPr="00082D5D">
              <w:t>≥ 30.0</w:t>
            </w:r>
          </w:p>
        </w:tc>
        <w:tc>
          <w:tcPr>
            <w:tcW w:w="2340" w:type="dxa"/>
          </w:tcPr>
          <w:p w14:paraId="3C63F086" w14:textId="792F8B5C" w:rsidR="004874BE" w:rsidRPr="00082D5D" w:rsidRDefault="004874BE" w:rsidP="004874BE">
            <w:r w:rsidRPr="00146106">
              <w:t>﻿</w:t>
            </w:r>
            <w:proofErr w:type="spellStart"/>
            <w:r w:rsidRPr="00146106">
              <w:t>Zulovich</w:t>
            </w:r>
            <w:proofErr w:type="spellEnd"/>
            <w:r w:rsidRPr="00146106">
              <w:t xml:space="preserve"> and </w:t>
            </w:r>
            <w:proofErr w:type="spellStart"/>
            <w:r w:rsidRPr="00146106">
              <w:t>DeShazer</w:t>
            </w:r>
            <w:proofErr w:type="spellEnd"/>
            <w:r w:rsidRPr="00146106">
              <w:t xml:space="preserve"> (1990) for layers</w:t>
            </w:r>
            <w:r>
              <w:t xml:space="preserve"> with wet bulb correction</w:t>
            </w:r>
          </w:p>
        </w:tc>
        <w:tc>
          <w:tcPr>
            <w:tcW w:w="1615" w:type="dxa"/>
          </w:tcPr>
          <w:p w14:paraId="610F160D" w14:textId="77777777" w:rsidR="004874BE" w:rsidRPr="007C3BE2" w:rsidRDefault="004874BE" w:rsidP="004874BE"/>
        </w:tc>
      </w:tr>
    </w:tbl>
    <w:p w14:paraId="1B668804" w14:textId="77777777" w:rsidR="00983D62" w:rsidRDefault="00983D62" w:rsidP="00C50805"/>
    <w:sectPr w:rsidR="00983D62" w:rsidSect="0087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061AB"/>
    <w:multiLevelType w:val="hybridMultilevel"/>
    <w:tmpl w:val="E1CE15C4"/>
    <w:lvl w:ilvl="0" w:tplc="F9829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C5"/>
    <w:rsid w:val="0006063A"/>
    <w:rsid w:val="000615BF"/>
    <w:rsid w:val="00064183"/>
    <w:rsid w:val="00082D5D"/>
    <w:rsid w:val="00085C03"/>
    <w:rsid w:val="000865BA"/>
    <w:rsid w:val="000B3B60"/>
    <w:rsid w:val="00100328"/>
    <w:rsid w:val="00146106"/>
    <w:rsid w:val="00147A20"/>
    <w:rsid w:val="00156CB9"/>
    <w:rsid w:val="00194702"/>
    <w:rsid w:val="001B0C4C"/>
    <w:rsid w:val="001B7C22"/>
    <w:rsid w:val="001C1D9D"/>
    <w:rsid w:val="001D0A0E"/>
    <w:rsid w:val="001D3424"/>
    <w:rsid w:val="001E527E"/>
    <w:rsid w:val="001E6D5B"/>
    <w:rsid w:val="001F43BA"/>
    <w:rsid w:val="0020750B"/>
    <w:rsid w:val="00217594"/>
    <w:rsid w:val="00240ED1"/>
    <w:rsid w:val="00245A01"/>
    <w:rsid w:val="00261350"/>
    <w:rsid w:val="00270C85"/>
    <w:rsid w:val="002737D9"/>
    <w:rsid w:val="0027696C"/>
    <w:rsid w:val="002C4DED"/>
    <w:rsid w:val="002C51F2"/>
    <w:rsid w:val="002E6C8C"/>
    <w:rsid w:val="0035159E"/>
    <w:rsid w:val="003541A8"/>
    <w:rsid w:val="003714CA"/>
    <w:rsid w:val="00371758"/>
    <w:rsid w:val="00372FF0"/>
    <w:rsid w:val="00382448"/>
    <w:rsid w:val="00382AA6"/>
    <w:rsid w:val="00387651"/>
    <w:rsid w:val="00397B35"/>
    <w:rsid w:val="003B25D1"/>
    <w:rsid w:val="003C0ABE"/>
    <w:rsid w:val="00404906"/>
    <w:rsid w:val="00413CC5"/>
    <w:rsid w:val="00416E1B"/>
    <w:rsid w:val="004261B9"/>
    <w:rsid w:val="00427428"/>
    <w:rsid w:val="00440EDB"/>
    <w:rsid w:val="00451414"/>
    <w:rsid w:val="00462515"/>
    <w:rsid w:val="004757C9"/>
    <w:rsid w:val="004874BE"/>
    <w:rsid w:val="0049660E"/>
    <w:rsid w:val="004A0EBC"/>
    <w:rsid w:val="004A5F2D"/>
    <w:rsid w:val="004B456B"/>
    <w:rsid w:val="004B46C4"/>
    <w:rsid w:val="004D5DEB"/>
    <w:rsid w:val="004D789E"/>
    <w:rsid w:val="00524A93"/>
    <w:rsid w:val="00533B0E"/>
    <w:rsid w:val="00553531"/>
    <w:rsid w:val="00561CA1"/>
    <w:rsid w:val="0056554F"/>
    <w:rsid w:val="00571076"/>
    <w:rsid w:val="0057572C"/>
    <w:rsid w:val="00580EED"/>
    <w:rsid w:val="0058779F"/>
    <w:rsid w:val="005A2C94"/>
    <w:rsid w:val="005B58F9"/>
    <w:rsid w:val="005C7A94"/>
    <w:rsid w:val="005D03DE"/>
    <w:rsid w:val="005D3111"/>
    <w:rsid w:val="005D3E8C"/>
    <w:rsid w:val="005E772F"/>
    <w:rsid w:val="005F1657"/>
    <w:rsid w:val="005F532B"/>
    <w:rsid w:val="00605A26"/>
    <w:rsid w:val="00610BB2"/>
    <w:rsid w:val="006230BF"/>
    <w:rsid w:val="006372B3"/>
    <w:rsid w:val="00647B94"/>
    <w:rsid w:val="00662B9B"/>
    <w:rsid w:val="00677D40"/>
    <w:rsid w:val="0068341C"/>
    <w:rsid w:val="006859DA"/>
    <w:rsid w:val="0069009D"/>
    <w:rsid w:val="00694EA0"/>
    <w:rsid w:val="006A50F3"/>
    <w:rsid w:val="006A6D6F"/>
    <w:rsid w:val="006D2C5B"/>
    <w:rsid w:val="006D447E"/>
    <w:rsid w:val="006E488E"/>
    <w:rsid w:val="006F306C"/>
    <w:rsid w:val="006F68B2"/>
    <w:rsid w:val="0070234E"/>
    <w:rsid w:val="00703100"/>
    <w:rsid w:val="00704334"/>
    <w:rsid w:val="00712119"/>
    <w:rsid w:val="007161F0"/>
    <w:rsid w:val="00721744"/>
    <w:rsid w:val="00733163"/>
    <w:rsid w:val="00733C20"/>
    <w:rsid w:val="00734BC3"/>
    <w:rsid w:val="00736B74"/>
    <w:rsid w:val="0078372D"/>
    <w:rsid w:val="007A3BE1"/>
    <w:rsid w:val="007C3BE2"/>
    <w:rsid w:val="007C7932"/>
    <w:rsid w:val="007E6F2D"/>
    <w:rsid w:val="007F56AF"/>
    <w:rsid w:val="0080271C"/>
    <w:rsid w:val="00812887"/>
    <w:rsid w:val="00813936"/>
    <w:rsid w:val="00821198"/>
    <w:rsid w:val="00822CC0"/>
    <w:rsid w:val="00824172"/>
    <w:rsid w:val="00835BEE"/>
    <w:rsid w:val="00840BB1"/>
    <w:rsid w:val="00842E4B"/>
    <w:rsid w:val="00843F7C"/>
    <w:rsid w:val="008620B3"/>
    <w:rsid w:val="00870605"/>
    <w:rsid w:val="00870D81"/>
    <w:rsid w:val="0087737A"/>
    <w:rsid w:val="008D1376"/>
    <w:rsid w:val="008D2E10"/>
    <w:rsid w:val="008E6558"/>
    <w:rsid w:val="00920D55"/>
    <w:rsid w:val="0093537E"/>
    <w:rsid w:val="00937E07"/>
    <w:rsid w:val="00960096"/>
    <w:rsid w:val="00972B52"/>
    <w:rsid w:val="00974ADA"/>
    <w:rsid w:val="00983D62"/>
    <w:rsid w:val="009A22F2"/>
    <w:rsid w:val="009B20E3"/>
    <w:rsid w:val="009B73B1"/>
    <w:rsid w:val="009E0B86"/>
    <w:rsid w:val="009E7CAD"/>
    <w:rsid w:val="009F5E90"/>
    <w:rsid w:val="009F6CAC"/>
    <w:rsid w:val="00A0283F"/>
    <w:rsid w:val="00A1445B"/>
    <w:rsid w:val="00A24218"/>
    <w:rsid w:val="00A531CA"/>
    <w:rsid w:val="00A5536D"/>
    <w:rsid w:val="00A57C80"/>
    <w:rsid w:val="00A6495B"/>
    <w:rsid w:val="00A733E6"/>
    <w:rsid w:val="00A75998"/>
    <w:rsid w:val="00A90D3E"/>
    <w:rsid w:val="00A92549"/>
    <w:rsid w:val="00AC5A60"/>
    <w:rsid w:val="00AD20FF"/>
    <w:rsid w:val="00AE0A65"/>
    <w:rsid w:val="00AE453D"/>
    <w:rsid w:val="00AE6D89"/>
    <w:rsid w:val="00AF68F2"/>
    <w:rsid w:val="00B05338"/>
    <w:rsid w:val="00B11ED7"/>
    <w:rsid w:val="00B21AD0"/>
    <w:rsid w:val="00B41FD6"/>
    <w:rsid w:val="00B55AE5"/>
    <w:rsid w:val="00B627D2"/>
    <w:rsid w:val="00B64D7E"/>
    <w:rsid w:val="00B70D83"/>
    <w:rsid w:val="00B76312"/>
    <w:rsid w:val="00B810D2"/>
    <w:rsid w:val="00BA4415"/>
    <w:rsid w:val="00BB387D"/>
    <w:rsid w:val="00BB568E"/>
    <w:rsid w:val="00BE523D"/>
    <w:rsid w:val="00BF1AE4"/>
    <w:rsid w:val="00C22ED9"/>
    <w:rsid w:val="00C265EF"/>
    <w:rsid w:val="00C36523"/>
    <w:rsid w:val="00C425F6"/>
    <w:rsid w:val="00C43FB3"/>
    <w:rsid w:val="00C50805"/>
    <w:rsid w:val="00C5562A"/>
    <w:rsid w:val="00C656B0"/>
    <w:rsid w:val="00C67C37"/>
    <w:rsid w:val="00C73179"/>
    <w:rsid w:val="00C77E35"/>
    <w:rsid w:val="00C837C8"/>
    <w:rsid w:val="00C919FD"/>
    <w:rsid w:val="00CB16F1"/>
    <w:rsid w:val="00CB603B"/>
    <w:rsid w:val="00CB7C96"/>
    <w:rsid w:val="00CD204F"/>
    <w:rsid w:val="00CD4888"/>
    <w:rsid w:val="00CE036F"/>
    <w:rsid w:val="00CE176E"/>
    <w:rsid w:val="00CE1921"/>
    <w:rsid w:val="00CF6DC5"/>
    <w:rsid w:val="00D3547E"/>
    <w:rsid w:val="00D3591E"/>
    <w:rsid w:val="00D70791"/>
    <w:rsid w:val="00D92B7C"/>
    <w:rsid w:val="00DA3485"/>
    <w:rsid w:val="00DA677F"/>
    <w:rsid w:val="00DA68AC"/>
    <w:rsid w:val="00DB3DA1"/>
    <w:rsid w:val="00DB5113"/>
    <w:rsid w:val="00DC4E30"/>
    <w:rsid w:val="00DD1A41"/>
    <w:rsid w:val="00DE1CFC"/>
    <w:rsid w:val="00DE239E"/>
    <w:rsid w:val="00DE7CBD"/>
    <w:rsid w:val="00DE7ED4"/>
    <w:rsid w:val="00DF7B44"/>
    <w:rsid w:val="00E22AA9"/>
    <w:rsid w:val="00E32BAF"/>
    <w:rsid w:val="00E41167"/>
    <w:rsid w:val="00E442DB"/>
    <w:rsid w:val="00E60E4E"/>
    <w:rsid w:val="00E6355A"/>
    <w:rsid w:val="00E666A3"/>
    <w:rsid w:val="00E81743"/>
    <w:rsid w:val="00E835B4"/>
    <w:rsid w:val="00EA5240"/>
    <w:rsid w:val="00EA5428"/>
    <w:rsid w:val="00EB42AB"/>
    <w:rsid w:val="00EC05C2"/>
    <w:rsid w:val="00ED27D0"/>
    <w:rsid w:val="00ED2CC1"/>
    <w:rsid w:val="00EF1750"/>
    <w:rsid w:val="00EF47D0"/>
    <w:rsid w:val="00F16B8C"/>
    <w:rsid w:val="00F2215C"/>
    <w:rsid w:val="00F27CB2"/>
    <w:rsid w:val="00F52425"/>
    <w:rsid w:val="00F609EE"/>
    <w:rsid w:val="00F66983"/>
    <w:rsid w:val="00F775F1"/>
    <w:rsid w:val="00F778E0"/>
    <w:rsid w:val="00F85F4E"/>
    <w:rsid w:val="00F9161C"/>
    <w:rsid w:val="00FA3F21"/>
    <w:rsid w:val="00FA562F"/>
    <w:rsid w:val="00FB12C3"/>
    <w:rsid w:val="00FC09EE"/>
    <w:rsid w:val="00FC5C14"/>
    <w:rsid w:val="00FC606F"/>
    <w:rsid w:val="00FD1C11"/>
    <w:rsid w:val="00FD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29B65"/>
  <w15:chartTrackingRefBased/>
  <w15:docId w15:val="{C2D63F12-7819-AF46-91C3-6E2BC2A6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D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D70791"/>
    <w:pPr>
      <w:ind w:left="720"/>
      <w:contextualSpacing/>
    </w:pPr>
  </w:style>
  <w:style w:type="character" w:customStyle="1" w:styleId="mtext">
    <w:name w:val="mtext"/>
    <w:basedOn w:val="DefaultParagraphFont"/>
    <w:rsid w:val="00D70791"/>
  </w:style>
  <w:style w:type="character" w:customStyle="1" w:styleId="mo">
    <w:name w:val="mo"/>
    <w:basedOn w:val="DefaultParagraphFont"/>
    <w:rsid w:val="00D70791"/>
  </w:style>
  <w:style w:type="character" w:customStyle="1" w:styleId="mn">
    <w:name w:val="mn"/>
    <w:basedOn w:val="DefaultParagraphFont"/>
    <w:rsid w:val="00D70791"/>
  </w:style>
  <w:style w:type="table" w:styleId="TableGrid">
    <w:name w:val="Table Grid"/>
    <w:basedOn w:val="TableNormal"/>
    <w:uiPriority w:val="39"/>
    <w:rsid w:val="00983D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D78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Nelson</dc:creator>
  <cp:keywords/>
  <dc:description/>
  <cp:lastModifiedBy>Gerald Nelson</cp:lastModifiedBy>
  <cp:revision>4</cp:revision>
  <dcterms:created xsi:type="dcterms:W3CDTF">2019-12-02T15:33:00Z</dcterms:created>
  <dcterms:modified xsi:type="dcterms:W3CDTF">2019-12-09T23:10:00Z</dcterms:modified>
</cp:coreProperties>
</file>