
<file path=[Content_Types].xml><?xml version="1.0" encoding="utf-8"?>
<ct:Types xmlns:ct="http://schemas.openxmlformats.org/package/2006/content-types">
  <ct:Default Extension="rels" ContentType="application/vnd.openxmlformats-package.relationships+xml"/>
  <ct:Default Extension="xml" ContentType="application/xml"/>
  <ct:Override PartName="/word/document.xml" ContentType="application/vnd.openxmlformats-officedocument.wordprocessingml.document.main+xml"/>
  <ct:Override PartName="/word/styles.xml" ContentType="application/vnd.openxmlformats-officedocument.wordprocessingml.styles+xml"/>
  <ct:Override PartName="/docProps/core.xml" ContentType="application/vnd.openxmlformats-package.core-properties+xml"/>
  <ct:Override PartName="/docProps/app.xml" ContentType="application/vnd.openxmlformats-officedocument.extended-properties+xml"/>
</ct:Types>
</file>

<file path=_rels/.rels><?xml version='1.0' encoding='utf-8'?>
<rel:Relationships xmlns:rel="http://schemas.openxmlformats.org/package/2006/relationships"><rel:Relationship Id="rId1" Type="http://schemas.openxmlformats.org/officeDocument/2006/relationships/officeDocument" Target="word/document.xml" /><rel:Relationship Id="rId2" Type="http://schemas.openxmlformats.org/package/2006/relationships/metadata/core-properties" Target="docProps/core.xml" /><rel:Relationship Id="rId3" Type="http://schemas.openxmlformats.org/officeDocument/2006/relationships/extended-properties" Target="docProps/app.xml" /></rel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after="80"/>
      </w:pPr>
      <w:r>
        <w:rPr>
          <w:b/>
          <w:sz w:val="19"/>
          <w:color w:val="247BA0"/>
        </w:rPr>
        <w:t>PAWESOME</w:t>
      </w:r>
    </w:p>
    <w:p>
      <w:pPr>
        <w:pStyle w:val="Title"/>
        <w:spacing w:after="130"/>
      </w:pPr>
      <w:r>
        <w:rPr>
          <w:sz w:val="19"/>
          <w:color w:val="17365D"/>
        </w:rPr>
        <w:t>Production Hosting &amp; Deployment Plan</w:t>
      </w:r>
    </w:p>
    <w:p>
      <w:pPr>
        <w:spacing w:after="160"/>
      </w:pPr>
      <w:r>
        <w:rPr>
          <w:sz w:val="23"/>
          <w:color w:val="52606D"/>
        </w:rPr>
        <w:t>Two deployment paths: controlled capstone demonstration and separately governed business production.</w:t>
      </w:r>
    </w:p>
    <w:p>
      <w:pPr>
        <w:spacing w:after="45"/>
      </w:pPr>
      <w:r>
        <w:rPr>
          <w:b/>
          <w:sz w:val="19"/>
          <w:color w:val="17365D"/>
        </w:rPr>
        <w:t>Prepared: 23 September 2026</w:t>
      </w:r>
    </w:p>
    <w:p>
      <w:pPr>
        <w:spacing w:after="160"/>
      </w:pPr>
      <w:r>
        <w:rPr>
          <w:i/>
          <w:sz w:val="18"/>
          <w:color w:val="9C2F2F"/>
        </w:rPr>
        <w:t>Status: planning document only — no deployment, provider account, migration, test run, or production change has been performed.</w:t>
      </w:r>
    </w:p>
    <w:tbl>
      <w:tblPr>
        <w:tblW w:w="936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00"/>
        <w:gridCol w:w="7060"/>
      </w:tblGrid>
      <w:tr>
        <w:trPr>
          <w:tblHeader/>
        </w:trPr>
        <w:tc>
          <w:tcPr>
            <w:tcW w:w="2300" w:type="dxa"/>
            <w:shd w:fill="17365D" w:val="clear"/>
          </w:tcPr>
          <w:p>
            <w:pPr>
              <w:spacing w:after="25" w:line="220" w:lineRule="auto"/>
            </w:pPr>
            <w:r>
              <w:rPr>
                <w:b/>
                <w:sz w:val="16"/>
                <w:color w:val="FFFFFF"/>
              </w:rPr>
              <w:t>Decision / safety rule</w:t>
            </w:r>
          </w:p>
        </w:tc>
        <w:tc>
          <w:tcPr>
            <w:tcW w:w="7060" w:type="dxa"/>
            <w:shd w:fill="17365D" w:val="clear"/>
          </w:tcPr>
          <w:p>
            <w:pPr>
              <w:spacing w:after="25" w:line="220" w:lineRule="auto"/>
            </w:pPr>
            <w:r>
              <w:rPr>
                <w:b/>
                <w:sz w:val="16"/>
                <w:color w:val="FFFFFF"/>
              </w:rPr>
              <w:t>Plan</w:t>
            </w:r>
          </w:p>
        </w:tc>
      </w:tr>
      <w:tr>
        <w:tc>
          <w:tcPr>
            <w:tcW w:w="2300" w:type="dxa"/>
          </w:tcPr>
          <w:p>
            <w:pPr>
              <w:spacing w:after="25" w:line="220" w:lineRule="auto"/>
            </w:pPr>
            <w:r>
              <w:rPr>
                <w:sz w:val="16"/>
                <w:color w:val="202124"/>
              </w:rPr>
              <w:t>Deployment targets</w:t>
            </w:r>
          </w:p>
        </w:tc>
        <w:tc>
          <w:tcPr>
            <w:tcW w:w="7060" w:type="dxa"/>
          </w:tcPr>
          <w:p>
            <w:pPr>
              <w:spacing w:after="25" w:line="220" w:lineRule="auto"/>
            </w:pPr>
            <w:r>
              <w:rPr>
                <w:sz w:val="16"/>
                <w:color w:val="202124"/>
              </w:rPr>
              <w:t>Both: low-cost capstone demo and a separate commercial business path.</w:t>
            </w:r>
          </w:p>
        </w:tc>
      </w:tr>
      <w:tr>
        <w:tc>
          <w:tcPr>
            <w:tcW w:w="2300" w:type="dxa"/>
          </w:tcPr>
          <w:p>
            <w:pPr>
              <w:spacing w:after="25" w:line="220" w:lineRule="auto"/>
            </w:pPr>
            <w:r>
              <w:rPr>
                <w:sz w:val="16"/>
                <w:color w:val="202124"/>
              </w:rPr>
              <w:t>Current Git state</w:t>
            </w:r>
          </w:p>
        </w:tc>
        <w:tc>
          <w:tcPr>
            <w:tcW w:w="7060" w:type="dxa"/>
          </w:tcPr>
          <w:p>
            <w:pPr>
              <w:spacing w:after="25" w:line="220" w:lineRule="auto"/>
            </w:pPr>
            <w:r>
              <w:rPr>
                <w:sz w:val="16"/>
                <w:color w:val="202124"/>
              </w:rPr>
              <w:t>Preserve dirty main exactly. No stash, commit, reset, clean, pull, checkout, branch creation, or deployment until the user reviews and explicitly approves the specific operation.</w:t>
            </w:r>
          </w:p>
        </w:tc>
      </w:tr>
      <w:tr>
        <w:tc>
          <w:tcPr>
            <w:tcW w:w="2300" w:type="dxa"/>
          </w:tcPr>
          <w:p>
            <w:pPr>
              <w:spacing w:after="25" w:line="220" w:lineRule="auto"/>
            </w:pPr>
            <w:r>
              <w:rPr>
                <w:sz w:val="16"/>
                <w:color w:val="202124"/>
              </w:rPr>
              <w:t>Scope</w:t>
            </w:r>
          </w:p>
        </w:tc>
        <w:tc>
          <w:tcPr>
            <w:tcW w:w="7060" w:type="dxa"/>
          </w:tcPr>
          <w:p>
            <w:pPr>
              <w:spacing w:after="25" w:line="220" w:lineRule="auto"/>
            </w:pPr>
            <w:r>
              <w:rPr>
                <w:sz w:val="16"/>
                <w:color w:val="202124"/>
              </w:rPr>
              <w:t>Document the audited plan and action items. This is not a production-readiness certificate.</w:t>
            </w:r>
          </w:p>
        </w:tc>
      </w:tr>
    </w:tbl>
    <w:p>
      <w:pPr>
        <w:spacing w:after="60"/>
      </w:pPr>
    </w:p>
    <w:p>
      <w:pPr>
        <w:pStyle w:val="Heading1"/>
        <w:spacing w:after="80"/>
        <w:keepNext/>
      </w:pPr>
      <w:r>
        <w:rPr>
          <w:sz w:val="19"/>
        </w:rPr>
        <w:t>1. Executive summary</w:t>
      </w:r>
    </w:p>
    <w:p>
      <w:pPr>
        <w:spacing w:after="80"/>
      </w:pPr>
      <w:r>
        <w:rPr>
          <w:sz w:val="19"/>
        </w:rPr>
        <w:t>Pawesome is a role-based pet-care management application. The repository supports a React/Vite frontend and Laravel API; the checked Composer manifest requires Laravel 12 and PHP 8.2+, correcting the stale Laravel 11 statement in the repository guide. MySQL remains the required production database. The frontend build directory is build/ and the repository includes a package lockfile.</w:t>
      </w:r>
    </w:p>
    <w:p>
      <w:pPr>
        <w:spacing w:after="80"/>
      </w:pPr>
      <w:r>
        <w:rPr>
          <w:sz w:val="19"/>
        </w:rPr>
        <w:t>The low-cost track is only for a controlled, non-commercial capstone demonstration, with visible service sleep, storage, quota, privacy, and recovery limitations. It must not be represented as suitable for a veterinary business or real customer/patient records. The business track uses commercial plans and durable services. Both paths retain current API/business logic and require a release gate before sharing production URLs.</w:t>
      </w:r>
    </w:p>
    <w:p>
      <w:pPr>
        <w:spacing w:after="80"/>
      </w:pPr>
      <w:r>
        <w:rPr>
          <w:sz w:val="19"/>
        </w:rPr>
        <w:t>Current code-level blockers to address in later phases include a public chatbot localhost fallback, development/placeholder origins in CORS and Sanctum defaults, filesystem uploads on local disks, scheduler definitions requiring reconciliation, and a Render manifest that assumes unverified free PHP/MySQL/Redis services and runs migrations at process startup.</w:t>
      </w:r>
    </w:p>
    <w:p>
      <w:pPr>
        <w:pStyle w:val="Heading1"/>
        <w:spacing w:after="80"/>
        <w:keepNext/>
      </w:pPr>
      <w:r>
        <w:rPr>
          <w:sz w:val="19"/>
        </w:rPr>
        <w:t>2. Verified system architecture and code notes</w:t>
      </w:r>
    </w:p>
    <w:p>
      <w:pPr>
        <w:spacing w:after="30"/>
      </w:pPr>
      <w:r>
        <w:rPr>
          <w:b/>
          <w:sz w:val="19"/>
          <w:color w:val="17365D"/>
        </w:rPr>
        <w:t>Architecture today</w:t>
      </w:r>
    </w:p>
    <w:p>
      <w:pPr>
        <w:spacing w:after="20"/>
      </w:pPr>
      <w:r>
        <w:rPr>
          <w:sz w:val="17"/>
          <w:color w:val="334155"/>
          <w:rFonts w:ascii="Consolas" w:hAnsi="Consolas"/>
        </w:rPr>
        <w:t>Browser → React 18 + Vite static frontend → HTTPS JSON API → Laravel 12 → MySQL</w:t>
      </w:r>
    </w:p>
    <w:p>
      <w:pPr>
        <w:spacing w:after="20"/>
      </w:pPr>
      <w:r>
        <w:rPr>
          <w:sz w:val="17"/>
          <w:color w:val="334155"/>
          <w:rFonts w:ascii="Consolas" w:hAnsi="Consolas"/>
        </w:rPr>
        <w:t>Laravel → Brevo SMTP for verification/reset/welcome/notification messages</w:t>
      </w:r>
    </w:p>
    <w:p>
      <w:pPr>
        <w:spacing w:after="20"/>
      </w:pPr>
      <w:r>
        <w:rPr>
          <w:sz w:val="17"/>
          <w:color w:val="334155"/>
          <w:rFonts w:ascii="Consolas" w:hAnsi="Consolas"/>
        </w:rPr>
        <w:t>Laravel → optional Gemini API (never call Gemini directly from React with a secret)</w:t>
      </w:r>
    </w:p>
    <w:p>
      <w:pPr>
        <w:spacing w:after="20"/>
      </w:pPr>
      <w:r>
        <w:rPr>
          <w:sz w:val="17"/>
          <w:color w:val="334155"/>
          <w:rFonts w:ascii="Consolas" w:hAnsi="Consolas"/>
        </w:rPr>
        <w:t>Laravel → local private/public disks today; persistent object storage is not yet integrated</w:t>
      </w:r>
    </w:p>
    <w:p>
      <w:pPr>
        <w:ind w:left="360" w:hanging="180"/>
        <w:spacing w:after="55"/>
      </w:pPr>
      <w:r>
        <w:rPr>
          <w:sz w:val="18"/>
        </w:rPr>
        <w:t>•  Authentication: Sanctum personal access tokens via custom auth.api middleware; frontend sends Bearer Authorization and credentials: include. Preserve this token model and verify login, logout, expiry/revocation, and role restrictions; do not weaken auth to resolve deployment issues.</w:t>
      </w:r>
    </w:p>
    <w:p>
      <w:pPr>
        <w:ind w:left="360" w:hanging="180"/>
        <w:spacing w:after="55"/>
      </w:pPr>
      <w:r>
        <w:rPr>
          <w:sz w:val="18"/>
        </w:rPr>
        <w:t>•  Build: use npm ci (frontend/package-lock.json is present), then npm run build. frontend/vercel.json uses outputDirectory build, matching frontend/vite.config.js.</w:t>
      </w:r>
    </w:p>
    <w:p>
      <w:pPr>
        <w:ind w:left="360" w:hanging="180"/>
        <w:spacing w:after="55"/>
      </w:pPr>
      <w:r>
        <w:rPr>
          <w:sz w:val="18"/>
        </w:rPr>
        <w:t>•  Frontend API configuration uses VITE_API_BASE_URL, which is public build-time data. frontend/src/services/chatbotService.js falls back to http://127.0.0.1:8000/api for public chatbot requests; production must supply the backend API origin or safely remove that fallback after tests.</w:t>
      </w:r>
    </w:p>
    <w:p>
      <w:pPr>
        <w:ind w:left="360" w:hanging="180"/>
        <w:spacing w:after="55"/>
      </w:pPr>
      <w:r>
        <w:rPr>
          <w:sz w:val="18"/>
        </w:rPr>
        <w:t>•  CORS and Sanctum defaults include localhost and placeholder domains. Configure only actual frontend origin(s) per environment; do not use wildcard origins with credentials.</w:t>
      </w:r>
    </w:p>
    <w:p>
      <w:pPr>
        <w:ind w:left="360" w:hanging="180"/>
        <w:spacing w:after="55"/>
      </w:pPr>
      <w:r>
        <w:rPr>
          <w:sz w:val="18"/>
        </w:rPr>
        <w:t>•  Local private and public filesystem disks are used. Payment-proof and vaccination-card views are authenticated; profile photos are public by design. Pet/care-log and CMS images have public-file paths. Audit every upload path, access rule, validation, safe name and storage integration before moving data.</w:t>
      </w:r>
    </w:p>
    <w:p>
      <w:pPr>
        <w:ind w:left="360" w:hanging="180"/>
        <w:spacing w:after="55"/>
      </w:pPr>
      <w:r>
        <w:rPr>
          <w:sz w:val="18"/>
        </w:rPr>
        <w:t>•  Queue mailables implement ShouldQueue. The Render manifest sets QUEUE_CONNECTION=sync; this can be a demo choice but adds request latency. Reminder schedules appear in routes/console.php and app/Console/Kernel.php; determine intended cadence and scheduler entry point before enabling cron.</w:t>
      </w:r>
    </w:p>
    <w:p>
      <w:pPr>
        <w:ind w:left="360" w:hanging="180"/>
        <w:spacing w:after="55"/>
      </w:pPr>
      <w:r>
        <w:rPr>
          <w:sz w:val="18"/>
        </w:rPr>
        <w:t>•  A public /api/health route exists. The Render manifest is not verified production infrastructure: it declares free PHP/MySQL/Redis services, placeholder URLs, and runs migrate --force at process startup. Replace/retire only after providers are chosen and tested.</w:t>
      </w:r>
    </w:p>
    <w:p>
      <w:pPr>
        <w:ind w:left="360" w:hanging="180"/>
        <w:spacing w:after="55"/>
      </w:pPr>
      <w:r>
        <w:rPr>
          <w:sz w:val="18"/>
        </w:rPr>
        <w:t>•  database/seeders/DatabaseSeeder.php includes PawesomeLiveDemoSeeder and other demo/content seeders. Review demo users and seed data before any production seeding; do not copy weak development passwords to business deployment.</w:t>
      </w:r>
    </w:p>
    <w:p>
      <w:pPr>
        <w:ind w:left="360" w:hanging="180"/>
        <w:spacing w:after="55"/>
      </w:pPr>
      <w:r>
        <w:rPr>
          <w:sz w:val="18"/>
        </w:rPr>
        <w:t>•  The E2E README warns live tests mutate state and recommends local/disposable data. Role workflows must use staging/disposable data unless a particular production test is proven non-destructive.</w:t>
      </w:r>
    </w:p>
    <w:p>
      <w:pPr>
        <w:pStyle w:val="Heading1"/>
        <w:spacing w:after="80"/>
        <w:keepNext/>
      </w:pPr>
      <w:r>
        <w:rPr>
          <w:sz w:val="19"/>
        </w:rPr>
        <w:t>3. Two target deployments</w:t>
      </w:r>
    </w:p>
    <w:p>
      <w:pPr>
        <w:spacing w:after="35"/>
      </w:pPr>
      <w:r>
        <w:rPr>
          <w:b/>
          <w:sz w:val="19"/>
          <w:color w:val="17365D"/>
        </w:rPr>
        <w:t>CAPSTONE DEMO — free/very low cost; controlled, non-commercial, disposable-risk data only</w:t>
      </w:r>
    </w:p>
    <w:p>
      <w:pPr>
        <w:spacing w:after="80"/>
      </w:pPr>
      <w:r>
        <w:rPr>
          <w:sz w:val="19"/>
        </w:rPr>
        <w:t>GitHub (reviewed branch) → Vercel Hobby static React/Vite → Koyeb free PHP/Laravel service → Aiven Free managed MySQL. Laravel uses Brevo SMTP; only public/non-sensitive images may use Cloudinary within quota. Payment proofs and ID documents remain private behind Laravel authorization. Gemini is optional and remains off or limited to approved, non-sensitive FAQ content until data-use and policy checks are complete.</w:t>
      </w:r>
    </w:p>
    <w:p>
      <w:pPr>
        <w:spacing w:after="80"/>
      </w:pPr>
      <w:r>
        <w:rPr>
          <w:i/>
          <w:sz w:val="17"/>
          <w:color w:val="7A4B00"/>
        </w:rPr>
        <w:t>Expected state: demo services may sleep, respond slowly after idle, or require reactivation. Koyeb free has no persistent volume; uploads must be externalized before relying on file workflows. Aiven Free has 1 GB disk and no SLA. Never use this environment for real veterinary business records or claim business-grade uptime.</w:t>
      </w:r>
    </w:p>
    <w:p>
      <w:pPr>
        <w:spacing w:before="100" w:after="35"/>
      </w:pPr>
      <w:r>
        <w:rPr>
          <w:b/>
          <w:sz w:val="19"/>
          <w:color w:val="17365D"/>
        </w:rPr>
        <w:t>BUSINESS PRODUCTION — commercial, durable and separately costed</w:t>
      </w:r>
    </w:p>
    <w:p>
      <w:pPr>
        <w:spacing w:after="80"/>
      </w:pPr>
      <w:r>
        <w:rPr>
          <w:sz w:val="19"/>
        </w:rPr>
        <w:t>GitHub + reviewed CI/release branch → commercial frontend plan → paid always-on Laravel host with HTTPS, secret management, logs and deploy controls → paid managed MySQL sized for load with backup/SLA requirements → private S3-compatible object storage → verified transactional email plan → custom domain, monitoring, alerting and tested restore/rollback.</w:t>
      </w:r>
    </w:p>
    <w:p>
      <w:pPr>
        <w:spacing w:after="80"/>
      </w:pPr>
      <w:r>
        <w:rPr>
          <w:i/>
          <w:sz w:val="17"/>
          <w:color w:val="7A4B00"/>
        </w:rPr>
        <w:t>Free/demo services do not become production-grade merely because traffic grows. Actual monthly cost depends on runtime size/region, database plan, storage, egress, email, AI usage, logging and taxes.</w:t>
      </w:r>
    </w:p>
    <w:p>
      <w:pPr>
        <w:pStyle w:val="Heading1"/>
        <w:spacing w:after="80"/>
        <w:keepNext/>
      </w:pPr>
      <w:r>
        <w:rPr>
          <w:sz w:val="19"/>
        </w:rPr>
        <w:t>4. Provider comparison — official pages checked 2026-09-23</w:t>
      </w:r>
    </w:p>
    <w:tbl>
      <w:tblPr>
        <w:tblW w:w="936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00"/>
        <w:gridCol w:w="4020"/>
        <w:gridCol w:w="3640"/>
      </w:tblGrid>
      <w:tr>
        <w:trPr>
          <w:tblHeader/>
        </w:trPr>
        <w:tc>
          <w:tcPr>
            <w:tcW w:w="1700" w:type="dxa"/>
            <w:shd w:fill="17365D" w:val="clear"/>
          </w:tcPr>
          <w:p>
            <w:pPr>
              <w:spacing w:after="25" w:line="220" w:lineRule="auto"/>
            </w:pPr>
            <w:r>
              <w:rPr>
                <w:b/>
                <w:sz w:val="14"/>
                <w:color w:val="FFFFFF"/>
              </w:rPr>
              <w:t>Provider / role</w:t>
            </w:r>
          </w:p>
        </w:tc>
        <w:tc>
          <w:tcPr>
            <w:tcW w:w="4020" w:type="dxa"/>
            <w:shd w:fill="17365D" w:val="clear"/>
          </w:tcPr>
          <w:p>
            <w:pPr>
              <w:spacing w:after="25" w:line="220" w:lineRule="auto"/>
            </w:pPr>
            <w:r>
              <w:rPr>
                <w:b/>
                <w:sz w:val="14"/>
                <w:color w:val="FFFFFF"/>
              </w:rPr>
              <w:t>Demo tier and verified constraints</w:t>
            </w:r>
          </w:p>
        </w:tc>
        <w:tc>
          <w:tcPr>
            <w:tcW w:w="3640" w:type="dxa"/>
            <w:shd w:fill="17365D" w:val="clear"/>
          </w:tcPr>
          <w:p>
            <w:pPr>
              <w:spacing w:after="25" w:line="220" w:lineRule="auto"/>
            </w:pPr>
            <w:r>
              <w:rPr>
                <w:b/>
                <w:sz w:val="14"/>
                <w:color w:val="FFFFFF"/>
              </w:rPr>
              <w:t>Business path / decision</w:t>
            </w:r>
          </w:p>
        </w:tc>
      </w:tr>
      <w:tr>
        <w:tc>
          <w:tcPr>
            <w:tcW w:w="1700" w:type="dxa"/>
          </w:tcPr>
          <w:p>
            <w:pPr>
              <w:spacing w:after="25" w:line="220" w:lineRule="auto"/>
            </w:pPr>
            <w:r>
              <w:rPr>
                <w:sz w:val="14"/>
                <w:color w:val="202124"/>
              </w:rPr>
              <w:t>Vercel — frontend</w:t>
            </w:r>
          </w:p>
        </w:tc>
        <w:tc>
          <w:tcPr>
            <w:tcW w:w="4020" w:type="dxa"/>
          </w:tcPr>
          <w:p>
            <w:pPr>
              <w:spacing w:after="25" w:line="220" w:lineRule="auto"/>
            </w:pPr>
            <w:r>
              <w:rPr>
                <w:sz w:val="14"/>
                <w:color w:val="202124"/>
              </w:rPr>
              <w:t>Hobby: $0; Git deploy/HTTPS. Typical monthly allowances include 100 GB transfer and 1M edge requests. Personal, non-commercial only. Payment/request-to-pay features may cause eligibility concerns; confirm or choose paid plan.</w:t>
            </w:r>
          </w:p>
        </w:tc>
        <w:tc>
          <w:tcPr>
            <w:tcW w:w="3640" w:type="dxa"/>
          </w:tcPr>
          <w:p>
            <w:pPr>
              <w:spacing w:after="25" w:line="220" w:lineRule="auto"/>
            </w:pPr>
            <w:r>
              <w:rPr>
                <w:sz w:val="14"/>
                <w:color w:val="202124"/>
              </w:rPr>
              <w:t>Pro: $20/user/month plus usage. Commercial use requires Pro or Enterprise. No secrets in VITE_* values.</w:t>
            </w:r>
          </w:p>
        </w:tc>
      </w:tr>
      <w:tr>
        <w:tc>
          <w:tcPr>
            <w:tcW w:w="1700" w:type="dxa"/>
          </w:tcPr>
          <w:p>
            <w:pPr>
              <w:spacing w:after="25" w:line="220" w:lineRule="auto"/>
            </w:pPr>
            <w:r>
              <w:rPr>
                <w:sz w:val="14"/>
                <w:color w:val="202124"/>
              </w:rPr>
              <w:t>Koyeb — PHP API</w:t>
            </w:r>
          </w:p>
        </w:tc>
        <w:tc>
          <w:tcPr>
            <w:tcW w:w="4020" w:type="dxa"/>
          </w:tcPr>
          <w:p>
            <w:pPr>
              <w:spacing w:after="25" w:line="220" w:lineRule="auto"/>
            </w:pPr>
            <w:r>
              <w:rPr>
                <w:sz w:val="14"/>
                <w:color w:val="202124"/>
              </w:rPr>
              <w:t>PHP and GitHub/Docker supported. Free: 512 MB RAM, 0.1 vCPU, 2 GB SSD; one free instance; sleeps after 1 hour idle; no persistent volume/worker. Requires a card and temporary $29 authorization hold.</w:t>
            </w:r>
          </w:p>
        </w:tc>
        <w:tc>
          <w:tcPr>
            <w:tcW w:w="3640" w:type="dxa"/>
          </w:tcPr>
          <w:p>
            <w:pPr>
              <w:spacing w:after="25" w:line="220" w:lineRule="auto"/>
            </w:pPr>
            <w:r>
              <w:rPr>
                <w:sz w:val="14"/>
                <w:color w:val="202124"/>
              </w:rPr>
              <w:t>Paid always-on instance sized from measurements; usage-based price. Eco advertised from about $1.61/month only in selected regions—not a capacity guarantee.</w:t>
            </w:r>
          </w:p>
        </w:tc>
      </w:tr>
      <w:tr>
        <w:tc>
          <w:tcPr>
            <w:tcW w:w="1700" w:type="dxa"/>
          </w:tcPr>
          <w:p>
            <w:pPr>
              <w:spacing w:after="25" w:line="220" w:lineRule="auto"/>
            </w:pPr>
            <w:r>
              <w:rPr>
                <w:sz w:val="14"/>
                <w:color w:val="202124"/>
              </w:rPr>
              <w:t>Aiven — MySQL</w:t>
            </w:r>
          </w:p>
        </w:tc>
        <w:tc>
          <w:tcPr>
            <w:tcW w:w="4020" w:type="dxa"/>
          </w:tcPr>
          <w:p>
            <w:pPr>
              <w:spacing w:after="25" w:line="220" w:lineRule="auto"/>
            </w:pPr>
            <w:r>
              <w:rPr>
                <w:sz w:val="14"/>
                <w:color w:val="202124"/>
              </w:rPr>
              <w:t>Free: $0, one node, 1 CPU, 1 GB RAM, 1 GB storage, 76 max connections, monitoring/backups; no card. No 99.99% SLA, no VPC/static IP; inactive services may be powered off.</w:t>
            </w:r>
          </w:p>
        </w:tc>
        <w:tc>
          <w:tcPr>
            <w:tcW w:w="3640" w:type="dxa"/>
          </w:tcPr>
          <w:p>
            <w:pPr>
              <w:spacing w:after="25" w:line="220" w:lineRule="auto"/>
            </w:pPr>
            <w:r>
              <w:rPr>
                <w:sz w:val="14"/>
                <w:color w:val="202124"/>
              </w:rPr>
              <w:t>Developer $5/month (8 GB disk). Startup from $75/month lists 99.99% SLA; Business from $180/month adds HA. Select from measured needs.</w:t>
            </w:r>
          </w:p>
        </w:tc>
      </w:tr>
      <w:tr>
        <w:tc>
          <w:tcPr>
            <w:tcW w:w="1700" w:type="dxa"/>
          </w:tcPr>
          <w:p>
            <w:pPr>
              <w:spacing w:after="25" w:line="220" w:lineRule="auto"/>
            </w:pPr>
            <w:r>
              <w:rPr>
                <w:sz w:val="14"/>
                <w:color w:val="202124"/>
              </w:rPr>
              <w:t>Cloudinary — media</w:t>
            </w:r>
          </w:p>
        </w:tc>
        <w:tc>
          <w:tcPr>
            <w:tcW w:w="4020" w:type="dxa"/>
          </w:tcPr>
          <w:p>
            <w:pPr>
              <w:spacing w:after="25" w:line="220" w:lineRule="auto"/>
            </w:pPr>
            <w:r>
              <w:rPr>
                <w:sz w:val="14"/>
                <w:color w:val="202124"/>
              </w:rPr>
              <w:t>Free: 25 credits; 1 credit = 1,000 transformations OR 1 GB storage OR 1 GB image bandwidth; no card. Shared allowance, not 25 GB of each.</w:t>
            </w:r>
          </w:p>
        </w:tc>
        <w:tc>
          <w:tcPr>
            <w:tcW w:w="3640" w:type="dxa"/>
          </w:tcPr>
          <w:p>
            <w:pPr>
              <w:spacing w:after="25" w:line="220" w:lineRule="auto"/>
            </w:pPr>
            <w:r>
              <w:rPr>
                <w:sz w:val="14"/>
                <w:color w:val="202124"/>
              </w:rPr>
              <w:t>Private/authenticated delivery or private S3-compatible storage for sensitive files. Public URL/random ID is not access control. Recheck paid rates.</w:t>
            </w:r>
          </w:p>
        </w:tc>
      </w:tr>
      <w:tr>
        <w:tc>
          <w:tcPr>
            <w:tcW w:w="1700" w:type="dxa"/>
          </w:tcPr>
          <w:p>
            <w:pPr>
              <w:spacing w:after="25" w:line="220" w:lineRule="auto"/>
            </w:pPr>
            <w:r>
              <w:rPr>
                <w:sz w:val="14"/>
                <w:color w:val="202124"/>
              </w:rPr>
              <w:t>Brevo — email</w:t>
            </w:r>
          </w:p>
        </w:tc>
        <w:tc>
          <w:tcPr>
            <w:tcW w:w="4020" w:type="dxa"/>
          </w:tcPr>
          <w:p>
            <w:pPr>
              <w:spacing w:after="25" w:line="220" w:lineRule="auto"/>
            </w:pPr>
            <w:r>
              <w:rPr>
                <w:sz w:val="14"/>
                <w:color w:val="202124"/>
              </w:rPr>
              <w:t>Free SMTP/transactional email after account/sender approval; 300 sends/day; free account does not require card. Shared quota; no rollover.</w:t>
            </w:r>
          </w:p>
        </w:tc>
        <w:tc>
          <w:tcPr>
            <w:tcW w:w="3640" w:type="dxa"/>
          </w:tcPr>
          <w:p>
            <w:pPr>
              <w:spacing w:after="25" w:line="220" w:lineRule="auto"/>
            </w:pPr>
            <w:r>
              <w:rPr>
                <w:sz w:val="14"/>
                <w:color w:val="202124"/>
              </w:rPr>
              <w:t>Keep credentials server-side; choose plan from actual volume and verify current commercial price/deliverability.</w:t>
            </w:r>
          </w:p>
        </w:tc>
      </w:tr>
      <w:tr>
        <w:tc>
          <w:tcPr>
            <w:tcW w:w="1700" w:type="dxa"/>
          </w:tcPr>
          <w:p>
            <w:pPr>
              <w:spacing w:after="25" w:line="220" w:lineRule="auto"/>
            </w:pPr>
            <w:r>
              <w:rPr>
                <w:sz w:val="14"/>
                <w:color w:val="202124"/>
              </w:rPr>
              <w:t>Gemini — optional assistant</w:t>
            </w:r>
          </w:p>
        </w:tc>
        <w:tc>
          <w:tcPr>
            <w:tcW w:w="4020" w:type="dxa"/>
          </w:tcPr>
          <w:p>
            <w:pPr>
              <w:spacing w:after="25" w:line="220" w:lineRule="auto"/>
            </w:pPr>
            <w:r>
              <w:rPr>
                <w:sz w:val="14"/>
                <w:color w:val="202124"/>
              </w:rPr>
              <w:t>Free quota and model availability vary. Unpaid prompts/outputs can be used to improve Google services and human-reviewed; do not send sensitive/confidential/personal data.</w:t>
            </w:r>
          </w:p>
        </w:tc>
        <w:tc>
          <w:tcPr>
            <w:tcW w:w="3640" w:type="dxa"/>
          </w:tcPr>
          <w:p>
            <w:pPr>
              <w:spacing w:after="25" w:line="220" w:lineRule="auto"/>
            </w:pPr>
            <w:r>
              <w:rPr>
                <w:sz w:val="14"/>
                <w:color w:val="202124"/>
              </w:rPr>
              <w:t>Paid tier changes data-use terms but does not permit clinical/medical-advice use under checked terms. Review likely under-18 access, model, quota, cost cap and fallback before enabling.</w:t>
            </w:r>
          </w:p>
        </w:tc>
      </w:tr>
    </w:tbl>
    <w:p>
      <w:pPr>
        <w:spacing w:after="60"/>
      </w:pPr>
    </w:p>
    <w:p>
      <w:pPr>
        <w:spacing w:before="45" w:after="80"/>
      </w:pPr>
      <w:r>
        <w:rPr>
          <w:sz w:val="16"/>
        </w:rPr>
        <w:t>Alternatives reviewed: Render supports Laravel through Docker, but free web services sleep after 15 minutes and use ephemeral storage; its managed relational DB is PostgreSQL (free DB expires after 30 days), while its MySQL guide is self-managed with persistent-disk and backup responsibilities. Railway lists a $5 one-time trial credit for 30 days, $1 monthly free usage credit, and Hobby at $5/month plus metered use. Do not assume a durable free production host.</w:t>
      </w:r>
    </w:p>
    <w:p>
      <w:pPr>
        <w:pStyle w:val="Heading1"/>
        <w:spacing w:after="80"/>
        <w:keepNext/>
      </w:pPr>
      <w:r>
        <w:rPr>
          <w:sz w:val="19"/>
        </w:rPr>
        <w:t>5. Phased action plan</w:t>
      </w:r>
    </w:p>
    <w:p>
      <w:pPr>
        <w:pStyle w:val="Heading2"/>
        <w:spacing w:after="80"/>
        <w:keepNext/>
      </w:pPr>
      <w:r>
        <w:rPr>
          <w:sz w:val="19"/>
        </w:rPr>
        <w:t>Phase 0 — Safety and Git boundary</w:t>
      </w:r>
    </w:p>
    <w:p>
      <w:pPr>
        <w:spacing w:after="35"/>
      </w:pPr>
      <w:r>
        <w:rPr>
          <w:sz w:val="17"/>
        </w:rPr>
        <w:t>Record branch/status and review the dirty worktree with the owner. Preserve every modified/untracked file exactly. Do not pull, stash, commit, reset, clean, checkout, create/switch branches or deploy until the user explicitly authorizes a specific operation. After review and approval, prepare deploy/production from an agreed baseline.</w:t>
      </w:r>
    </w:p>
    <w:p>
      <w:pPr>
        <w:spacing w:after="75"/>
      </w:pPr>
      <w:r>
        <w:rPr>
          <w:i/>
          <w:sz w:val="15"/>
          <w:color w:val="596579"/>
        </w:rPr>
        <w:t>Phase report: inspected / changed / commands / tests / blockers / next step.</w:t>
      </w:r>
    </w:p>
    <w:p>
      <w:pPr>
        <w:pStyle w:val="Heading2"/>
        <w:spacing w:after="80"/>
        <w:keepNext/>
      </w:pPr>
      <w:r>
        <w:rPr>
          <w:sz w:val="19"/>
        </w:rPr>
        <w:t>Phase 1 — Repository and environment audit</w:t>
      </w:r>
    </w:p>
    <w:p>
      <w:pPr>
        <w:spacing w:after="35"/>
      </w:pPr>
      <w:r>
        <w:rPr>
          <w:sz w:val="17"/>
        </w:rPr>
        <w:t>Inventory actual framework/runtime requirements, dependencies, routes, environment references, tests, provider configs, secret protection, CORS, auth, TLS, queues, scheduler, cache, logs, uploads and health endpoint. Correct the Laravel 11 documentation mismatch. Build a required-variable matrix split into public VITE_* values and private backend secrets. Search localhost/127.0.0.1/ports/API keys and classify each match.</w:t>
      </w:r>
    </w:p>
    <w:p>
      <w:pPr>
        <w:spacing w:after="75"/>
      </w:pPr>
      <w:r>
        <w:rPr>
          <w:i/>
          <w:sz w:val="15"/>
          <w:color w:val="596579"/>
        </w:rPr>
        <w:t>Phase report: inspected / changed / commands / tests / blockers / next step.</w:t>
      </w:r>
    </w:p>
    <w:p>
      <w:pPr>
        <w:pStyle w:val="Heading2"/>
        <w:spacing w:after="80"/>
        <w:keepNext/>
      </w:pPr>
      <w:r>
        <w:rPr>
          <w:sz w:val="19"/>
        </w:rPr>
        <w:t>Phase 2 — Choose provider tiers and enforce split</w:t>
      </w:r>
    </w:p>
    <w:p>
      <w:pPr>
        <w:spacing w:after="35"/>
      </w:pPr>
      <w:r>
        <w:rPr>
          <w:sz w:val="17"/>
        </w:rPr>
        <w:t>Re-check official pricing and terms immediately before provisioning. Confirm Vercel Hobby eligibility for a payment demonstration; otherwise use paid/commercial hosting. Accept Koyeb card authorization/sleep limits only if acceptable for demo. Select distinct runtime, DB, storage, email and monitoring plans for business; record current prices, quotas, card requirements, regions, TLS, backups and support.</w:t>
      </w:r>
    </w:p>
    <w:p>
      <w:pPr>
        <w:spacing w:after="75"/>
      </w:pPr>
      <w:r>
        <w:rPr>
          <w:i/>
          <w:sz w:val="15"/>
          <w:color w:val="596579"/>
        </w:rPr>
        <w:t>Phase report: inspected / changed / commands / tests / blockers / next step.</w:t>
      </w:r>
    </w:p>
    <w:p>
      <w:pPr>
        <w:pStyle w:val="Heading2"/>
        <w:spacing w:after="80"/>
        <w:keepNext/>
      </w:pPr>
      <w:r>
        <w:rPr>
          <w:sz w:val="19"/>
        </w:rPr>
        <w:t>Phase 3 — Prepare safe production configuration</w:t>
      </w:r>
    </w:p>
    <w:p>
      <w:pPr>
        <w:spacing w:after="35"/>
      </w:pPr>
      <w:r>
        <w:rPr>
          <w:sz w:val="17"/>
        </w:rPr>
        <w:t>Set APP_ENV=production, APP_DEBUG=false, unique APP_KEY, APP_URL, FRONTEND_URL, exact CORS/Sanctum domains, private env secrets, DB TLS options, logging, cache/session and storage. Pin/document PHP/Node versions. Keep Gemini/mail/database/object-storage keys server-only. Set VITE_API_BASE_URL to the correct API and remove/guard invalid localhost fallback after tests. Preserve bearer token authorization.</w:t>
      </w:r>
    </w:p>
    <w:p>
      <w:pPr>
        <w:spacing w:after="75"/>
      </w:pPr>
      <w:r>
        <w:rPr>
          <w:i/>
          <w:sz w:val="15"/>
          <w:color w:val="596579"/>
        </w:rPr>
        <w:t>Phase report: inspected / changed / commands / tests / blockers / next step.</w:t>
      </w:r>
    </w:p>
    <w:p>
      <w:pPr>
        <w:pStyle w:val="Heading2"/>
        <w:spacing w:after="80"/>
        <w:keepNext/>
      </w:pPr>
      <w:r>
        <w:rPr>
          <w:sz w:val="19"/>
        </w:rPr>
        <w:t>Phase 4 — Durable data, files, queue and scheduler</w:t>
      </w:r>
    </w:p>
    <w:p>
      <w:pPr>
        <w:spacing w:after="35"/>
      </w:pPr>
      <w:r>
        <w:rPr>
          <w:sz w:val="17"/>
        </w:rPr>
        <w:t>Provision a dedicated DB, never XAMPP/dev DB. Verify schema/indexes/FKs/charset/connections and migrations in staging. Review seeders/users. Take backup and rehearse first; apply only php artisan migrate --force. Never run migrate:fresh or db:wipe in production. Externalize uploads; proofs/cards private and authorized, selected images intentionally public. Decide sync vs worker queue, reconcile reminder schedule, and add monitored cron. Document encrypted off-provider mysqldump, retention and restore drill.</w:t>
      </w:r>
    </w:p>
    <w:p>
      <w:pPr>
        <w:spacing w:after="75"/>
      </w:pPr>
      <w:r>
        <w:rPr>
          <w:i/>
          <w:sz w:val="15"/>
          <w:color w:val="596579"/>
        </w:rPr>
        <w:t>Phase report: inspected / changed / commands / tests / blockers / next step.</w:t>
      </w:r>
    </w:p>
    <w:p>
      <w:pPr>
        <w:pStyle w:val="Heading2"/>
        <w:spacing w:after="80"/>
        <w:keepNext/>
      </w:pPr>
      <w:r>
        <w:rPr>
          <w:sz w:val="19"/>
        </w:rPr>
        <w:t>Phase 5 — Reproducible backend and frontend</w:t>
      </w:r>
    </w:p>
    <w:p>
      <w:pPr>
        <w:spacing w:after="35"/>
      </w:pPr>
      <w:r>
        <w:rPr>
          <w:sz w:val="17"/>
        </w:rPr>
        <w:t>Use composer install --no-dev --optimize-autoloader; verify extensions/startup on provider-supplied port. Cache config/routes only after route-cache validation. Run migrations in a controlled pre-deploy step, not each app start. Build with npm ci and npm run build; scan for localhost/secrets. Deploy static output build/ and test SPA, HTTPS and CORS.</w:t>
      </w:r>
    </w:p>
    <w:p>
      <w:pPr>
        <w:spacing w:after="75"/>
      </w:pPr>
      <w:r>
        <w:rPr>
          <w:i/>
          <w:sz w:val="15"/>
          <w:color w:val="596579"/>
        </w:rPr>
        <w:t>Phase report: inspected / changed / commands / tests / blockers / next step.</w:t>
      </w:r>
    </w:p>
    <w:p>
      <w:pPr>
        <w:pStyle w:val="Heading2"/>
        <w:spacing w:after="80"/>
        <w:keepNext/>
      </w:pPr>
      <w:r>
        <w:rPr>
          <w:sz w:val="19"/>
        </w:rPr>
        <w:t>Phase 6 — Staging verification and release gate</w:t>
      </w:r>
    </w:p>
    <w:p>
      <w:pPr>
        <w:spacing w:after="35"/>
      </w:pPr>
      <w:r>
        <w:rPr>
          <w:sz w:val="17"/>
        </w:rPr>
        <w:t>Run local tests, npm audit and composer audit; classify without force upgrades. Execute role E2E on disposable staging data. Test customer registration/login/logout/reset/verification/reservation/payment proof/chatbot; receptionist; cashier/POS/receipt; inventory/FEFO; veterinary; manager; admin. Measure performance and check logs for secret/PII leakage. Record pass/fail/warning/blocker with evidence.</w:t>
      </w:r>
    </w:p>
    <w:p>
      <w:pPr>
        <w:spacing w:after="75"/>
      </w:pPr>
      <w:r>
        <w:rPr>
          <w:i/>
          <w:sz w:val="15"/>
          <w:color w:val="596579"/>
        </w:rPr>
        <w:t>Phase report: inspected / changed / commands / tests / blockers / next step.</w:t>
      </w:r>
    </w:p>
    <w:p>
      <w:pPr>
        <w:pStyle w:val="Heading2"/>
        <w:spacing w:after="80"/>
        <w:keepNext/>
      </w:pPr>
      <w:r>
        <w:rPr>
          <w:sz w:val="19"/>
        </w:rPr>
        <w:t>Phase 7 — Release, observation and rollback</w:t>
      </w:r>
    </w:p>
    <w:p>
      <w:pPr>
        <w:spacing w:after="35"/>
      </w:pPr>
      <w:r>
        <w:rPr>
          <w:sz w:val="17"/>
        </w:rPr>
        <w:t>Only after gates pass and the owner approves, release the agreed branch. Record public URLs only, deployment commit, schema version, provider plan, logs/monitoring, tested backup restore and prior release. Do not buy a domain automatically. Run safe post-release smoke checks; rollback app artifacts or disable broken deployment when needed. Treat DB rollback as unsafe unless a verified migration/restore procedure exists.</w:t>
      </w:r>
    </w:p>
    <w:p>
      <w:pPr>
        <w:spacing w:after="75"/>
      </w:pPr>
      <w:r>
        <w:rPr>
          <w:i/>
          <w:sz w:val="15"/>
          <w:color w:val="596579"/>
        </w:rPr>
        <w:t>Phase report: inspected / changed / commands / tests / blockers / next step.</w:t>
      </w:r>
    </w:p>
    <w:p>
      <w:pPr>
        <w:pStyle w:val="Heading1"/>
        <w:spacing w:after="80"/>
        <w:keepNext/>
      </w:pPr>
      <w:r>
        <w:rPr>
          <w:sz w:val="19"/>
        </w:rPr>
        <w:t>6. Environment and security requirements</w:t>
      </w:r>
    </w:p>
    <w:p>
      <w:pPr>
        <w:spacing w:after="80"/>
      </w:pPr>
      <w:r>
        <w:rPr>
          <w:b/>
          <w:sz w:val="19"/>
          <w:color w:val="17365D"/>
        </w:rPr>
        <w:t>Public frontend build values — visible in the compiled bundle</w:t>
      </w:r>
    </w:p>
    <w:p>
      <w:pPr>
        <w:ind w:left="360" w:hanging="180"/>
        <w:spacing w:after="55"/>
      </w:pPr>
      <w:r>
        <w:rPr>
          <w:sz w:val="18"/>
        </w:rPr>
        <w:t>•  VITE_API_BASE_URL — deployed Laravel API base including /api; public, not secret.</w:t>
      </w:r>
    </w:p>
    <w:p>
      <w:pPr>
        <w:ind w:left="360" w:hanging="180"/>
        <w:spacing w:after="55"/>
      </w:pPr>
      <w:r>
        <w:rPr>
          <w:sz w:val="18"/>
        </w:rPr>
        <w:t>•  VITE_APP_NAME — optional display value; never put credentials or tokens here.</w:t>
      </w:r>
    </w:p>
    <w:p>
      <w:pPr>
        <w:spacing w:before="55" w:after="80"/>
      </w:pPr>
      <w:r>
        <w:rPr>
          <w:b/>
          <w:sz w:val="19"/>
          <w:color w:val="17365D"/>
        </w:rPr>
        <w:t>Private backend secrets and deployment values — provider secret manager only</w:t>
      </w:r>
    </w:p>
    <w:p>
      <w:pPr>
        <w:ind w:left="360" w:hanging="180"/>
        <w:spacing w:after="55"/>
      </w:pPr>
      <w:r>
        <w:rPr>
          <w:sz w:val="18"/>
        </w:rPr>
        <w:t>•  APP_KEY; production database endpoint/name/user/password and MySQL TLS/CA configuration.</w:t>
      </w:r>
    </w:p>
    <w:p>
      <w:pPr>
        <w:ind w:left="360" w:hanging="180"/>
        <w:spacing w:after="55"/>
      </w:pPr>
      <w:r>
        <w:rPr>
          <w:sz w:val="18"/>
        </w:rPr>
        <w:t>•  CORS_ALLOWED_ORIGINS, SANCTUM_STATEFUL_DOMAINS, APP_URL, FRONTEND_URL and trusted proxy behavior as required.</w:t>
      </w:r>
    </w:p>
    <w:p>
      <w:pPr>
        <w:ind w:left="360" w:hanging="180"/>
        <w:spacing w:after="55"/>
      </w:pPr>
      <w:r>
        <w:rPr>
          <w:sz w:val="18"/>
        </w:rPr>
        <w:t>•  MAIL_USERNAME/MAIL_PASSWORD; CHATBOT_AI_API_KEY; object-store credentials; queue/cache credentials; webhook secrets.</w:t>
      </w:r>
    </w:p>
    <w:p>
      <w:pPr>
        <w:ind w:left="360" w:hanging="180"/>
        <w:spacing w:after="55"/>
      </w:pPr>
      <w:r>
        <w:rPr>
          <w:sz w:val="18"/>
        </w:rPr>
        <w:t>•  APP_DEBUG=false; production logging/retention; cache/session/queue/filesystem configuration and least-privilege credentials.</w:t>
      </w:r>
    </w:p>
    <w:p>
      <w:pPr>
        <w:ind w:left="360" w:hanging="180"/>
        <w:spacing w:after="55"/>
      </w:pPr>
      <w:r>
        <w:rPr>
          <w:sz w:val="18"/>
        </w:rPr>
        <w:t>•  Validate MIME and extension plus size; ignore client filenames; generate random safe object keys; do not execute uploads; keep proofs, IDs and vaccination records private; do not return local filesystem paths or secret-bearing URLs.</w:t>
      </w:r>
    </w:p>
    <w:p>
      <w:pPr>
        <w:ind w:left="360" w:hanging="180"/>
        <w:spacing w:after="55"/>
      </w:pPr>
      <w:r>
        <w:rPr>
          <w:sz w:val="18"/>
        </w:rPr>
        <w:t>•  Do not log passwords, bearer tokens, API keys, complete payment details or unnecessary personal data. Rate-limit unauthenticated chatbot/auth/upload routes; bound input size and timeouts; retain FAQ/rule fallback if Gemini is unavailable.</w:t>
      </w:r>
    </w:p>
    <w:p>
      <w:pPr>
        <w:ind w:left="360" w:hanging="180"/>
        <w:spacing w:after="55"/>
      </w:pPr>
      <w:r>
        <w:rPr>
          <w:sz w:val="18"/>
        </w:rPr>
        <w:t>•  Gemini stays behind Laravel. Minimize data; never send payment credentials, medical records, identifiers or personal data to unpaid Gemini. Disable AI pending policy and data-flow approval if required.</w:t>
      </w:r>
    </w:p>
    <w:p>
      <w:pPr>
        <w:ind w:left="360" w:hanging="180"/>
        <w:spacing w:after="55"/>
      </w:pPr>
      <w:r>
        <w:rPr>
          <w:sz w:val="18"/>
        </w:rPr>
        <w:t>•  No wildcard CORS with credentials. Require HTTPS for auth, camera scanning and API calls. Do not expose MySQL to browsers or public ingress.</w:t>
      </w:r>
    </w:p>
    <w:p>
      <w:pPr>
        <w:pStyle w:val="Heading1"/>
        <w:spacing w:after="80"/>
        <w:keepNext/>
      </w:pPr>
      <w:r>
        <w:rPr>
          <w:sz w:val="19"/>
        </w:rPr>
        <w:t>7. Data protection, backups and rollback</w:t>
      </w:r>
    </w:p>
    <w:p>
      <w:pPr>
        <w:ind w:left="360" w:hanging="180"/>
        <w:spacing w:after="55"/>
      </w:pPr>
      <w:r>
        <w:rPr>
          <w:sz w:val="18"/>
        </w:rPr>
        <w:t>•  Create a dedicated managed production DB and verified pre-release backup. Use provider backups plus scheduled encrypted off-provider mysqldump for important records; restrict backup access and keep credentials separately.</w:t>
      </w:r>
    </w:p>
    <w:p>
      <w:pPr>
        <w:ind w:left="360" w:hanging="180"/>
        <w:spacing w:after="55"/>
      </w:pPr>
      <w:r>
        <w:rPr>
          <w:sz w:val="18"/>
        </w:rPr>
        <w:t>•  Define backup cadence/retention/RPO/RTO separately for demo and business. A free-tier snapshot is not a tested recovery plan. Restore into a separate disposable DB before calling recovery ready.</w:t>
      </w:r>
    </w:p>
    <w:p>
      <w:pPr>
        <w:ind w:left="360" w:hanging="180"/>
        <w:spacing w:after="55"/>
      </w:pPr>
      <w:r>
        <w:rPr>
          <w:sz w:val="18"/>
        </w:rPr>
        <w:t>•  Export DB and objects before free service expiry/suspension where possible; never rely on a free provider as the only copy.</w:t>
      </w:r>
    </w:p>
    <w:p>
      <w:pPr>
        <w:ind w:left="360" w:hanging="180"/>
        <w:spacing w:after="55"/>
      </w:pPr>
      <w:r>
        <w:rPr>
          <w:sz w:val="18"/>
        </w:rPr>
        <w:t>•  Rollback frontend to previous immutable deployment and backend to prior image/revision; assess forward-only migrations/data compatibility. Restore DB only with incident approval and verified process; do not assume automatic schema rollback is safe.</w:t>
      </w:r>
    </w:p>
    <w:p>
      <w:pPr>
        <w:ind w:left="360" w:hanging="180"/>
        <w:spacing w:after="55"/>
      </w:pPr>
      <w:r>
        <w:rPr>
          <w:sz w:val="18"/>
        </w:rPr>
        <w:t>•  Payment proofs and sensitive media remain private behind authenticated owner/role checks. Signed temporary URLs need explicit access policy review; approved avatars/marketing images may be public.</w:t>
      </w:r>
    </w:p>
    <w:p>
      <w:pPr>
        <w:pStyle w:val="Heading1"/>
        <w:spacing w:after="80"/>
        <w:keepNext/>
      </w:pPr>
      <w:r>
        <w:rPr>
          <w:sz w:val="19"/>
        </w:rPr>
        <w:t>8. Test and production acceptance checklist</w:t>
      </w:r>
    </w:p>
    <w:p>
      <w:pPr>
        <w:ind w:left="360" w:hanging="180"/>
        <w:spacing w:after="55"/>
      </w:pPr>
      <w:r>
        <w:rPr>
          <w:sz w:val="18"/>
        </w:rPr>
        <w:t>•  [ ] Git status and baseline reviewed; secrets absent from tracked files and frontend bundles.</w:t>
      </w:r>
    </w:p>
    <w:p>
      <w:pPr>
        <w:ind w:left="360" w:hanging="180"/>
        <w:spacing w:after="55"/>
      </w:pPr>
      <w:r>
        <w:rPr>
          <w:sz w:val="18"/>
        </w:rPr>
        <w:t>•  [ ] Provider pricing/terms rechecked; demo eligible for selected free tier or paid/alternative plan selected.</w:t>
      </w:r>
    </w:p>
    <w:p>
      <w:pPr>
        <w:ind w:left="360" w:hanging="180"/>
        <w:spacing w:after="55"/>
      </w:pPr>
      <w:r>
        <w:rPr>
          <w:sz w:val="18"/>
        </w:rPr>
        <w:t>•  [ ] Frontend npm ci/build succeeds; API URL, SPA routing, HTTPS and CORS verified.</w:t>
      </w:r>
    </w:p>
    <w:p>
      <w:pPr>
        <w:ind w:left="360" w:hanging="180"/>
        <w:spacing w:after="55"/>
      </w:pPr>
      <w:r>
        <w:rPr>
          <w:sz w:val="18"/>
        </w:rPr>
        <w:t>•  [ ] Laravel production dependencies install; app boots and health endpoint works; logs are useful and non-sensitive.</w:t>
      </w:r>
    </w:p>
    <w:p>
      <w:pPr>
        <w:ind w:left="360" w:hanging="180"/>
        <w:spacing w:after="55"/>
      </w:pPr>
      <w:r>
        <w:rPr>
          <w:sz w:val="18"/>
        </w:rPr>
        <w:t>•  [ ] MySQL TLS works; migrations safe; backup and restore documented/tested.</w:t>
      </w:r>
    </w:p>
    <w:p>
      <w:pPr>
        <w:ind w:left="360" w:hanging="180"/>
        <w:spacing w:after="55"/>
      </w:pPr>
      <w:r>
        <w:rPr>
          <w:sz w:val="18"/>
        </w:rPr>
        <w:t>•  [ ] Auth registration/login/logout/password reset/email verification and role authorization verified.</w:t>
      </w:r>
    </w:p>
    <w:p>
      <w:pPr>
        <w:ind w:left="360" w:hanging="180"/>
        <w:spacing w:after="55"/>
      </w:pPr>
      <w:r>
        <w:rPr>
          <w:sz w:val="18"/>
        </w:rPr>
        <w:t>•  [ ] Brevo sender approved; representative emails tested; quota documented or paid plan selected.</w:t>
      </w:r>
    </w:p>
    <w:p>
      <w:pPr>
        <w:ind w:left="360" w:hanging="180"/>
        <w:spacing w:after="55"/>
      </w:pPr>
      <w:r>
        <w:rPr>
          <w:sz w:val="18"/>
        </w:rPr>
        <w:t>•  [ ] Uploads reviewed; public/private visibility and file access authorization tested.</w:t>
      </w:r>
    </w:p>
    <w:p>
      <w:pPr>
        <w:ind w:left="360" w:hanging="180"/>
        <w:spacing w:after="55"/>
      </w:pPr>
      <w:r>
        <w:rPr>
          <w:sz w:val="18"/>
        </w:rPr>
        <w:t>•  [ ] Chatbot fallback works; Gemini policy/privacy/model/cost gates cleared or AI remains disabled.</w:t>
      </w:r>
    </w:p>
    <w:p>
      <w:pPr>
        <w:ind w:left="360" w:hanging="180"/>
        <w:spacing w:after="55"/>
      </w:pPr>
      <w:r>
        <w:rPr>
          <w:sz w:val="18"/>
        </w:rPr>
        <w:t>•  [ ] Customer, receptionist, cashier/POS/receipt, inventory/FEFO, veterinary, manager and admin workflows pass on staging.</w:t>
      </w:r>
    </w:p>
    <w:p>
      <w:pPr>
        <w:ind w:left="360" w:hanging="180"/>
        <w:spacing w:after="55"/>
      </w:pPr>
      <w:r>
        <w:rPr>
          <w:sz w:val="18"/>
        </w:rPr>
        <w:t>•  [ ] Existing E2E suites reviewed and run locally/staging with disposable data; destructive tests excluded from production.</w:t>
      </w:r>
    </w:p>
    <w:p>
      <w:pPr>
        <w:ind w:left="360" w:hanging="180"/>
        <w:spacing w:after="55"/>
      </w:pPr>
      <w:r>
        <w:rPr>
          <w:sz w:val="18"/>
        </w:rPr>
        <w:t>•  [ ] npm audit/composer audit findings classified; response times and bundle size measured.</w:t>
      </w:r>
    </w:p>
    <w:p>
      <w:pPr>
        <w:ind w:left="360" w:hanging="180"/>
        <w:spacing w:after="55"/>
      </w:pPr>
      <w:r>
        <w:rPr>
          <w:sz w:val="18"/>
        </w:rPr>
        <w:t>•  [ ] Queue and reminder scheduler behavior verified without duplicate execution.</w:t>
      </w:r>
    </w:p>
    <w:p>
      <w:pPr>
        <w:ind w:left="360" w:hanging="180"/>
        <w:spacing w:after="55"/>
      </w:pPr>
      <w:r>
        <w:rPr>
          <w:sz w:val="18"/>
        </w:rPr>
        <w:t>•  [ ] Logs/alerts and public URLs verified; rollback point recorded.</w:t>
      </w:r>
    </w:p>
    <w:p>
      <w:pPr>
        <w:ind w:left="360" w:hanging="180"/>
        <w:spacing w:after="55"/>
      </w:pPr>
      <w:r>
        <w:rPr>
          <w:sz w:val="18"/>
        </w:rPr>
        <w:t>•  [ ] Commercial production checklist separate; custom domain only after stable operation.</w:t>
      </w:r>
    </w:p>
    <w:p>
      <w:pPr>
        <w:pStyle w:val="Heading1"/>
        <w:spacing w:after="80"/>
        <w:keepNext/>
      </w:pPr>
      <w:r>
        <w:rPr>
          <w:sz w:val="19"/>
        </w:rPr>
        <w:t>9. Cost model and limitations</w:t>
      </w:r>
    </w:p>
    <w:p>
      <w:pPr>
        <w:spacing w:after="80"/>
      </w:pPr>
      <w:r>
        <w:rPr>
          <w:sz w:val="19"/>
        </w:rPr>
        <w:t>Demo target: ₱0 to very low monthly service spend only while free quotas remain and use is permitted. Koyeb requires card validation and a temporary authorization hold; Aiven Free and Cloudinary Free state no card requirement; Brevo Free is capped at 300 sends/day after approval. Excess usage, currency conversion, taxes and optional upgrades may cost money. These are not unlimited or durable services.</w:t>
      </w:r>
    </w:p>
    <w:p>
      <w:pPr>
        <w:spacing w:after="80"/>
      </w:pPr>
      <w:r>
        <w:rPr>
          <w:sz w:val="19"/>
        </w:rPr>
        <w:t>Business target: if selected, Vercel Pro is $20/user/month plus usage; paid Laravel runtime must be sized from measured demand; Aiven Developer is $5/month but has no production SLA, Startup starts at $75/month with listed 99.99% SLA, Business starts at $180/month with HA. Add private object storage, commercial email, custom domain, logging/monitoring, backup storage, taxes and any AI usage. Recheck prices and region before commitment.</w:t>
      </w:r>
    </w:p>
    <w:p>
      <w:pPr>
        <w:spacing w:after="80"/>
      </w:pPr>
      <w:r>
        <w:rPr>
          <w:i/>
          <w:sz w:val="17"/>
          <w:color w:val="7A4B00"/>
        </w:rPr>
        <w:t>No combined monthly total is asserted: workload, runtime class, region, retention, media, email, logs and support level are not yet specified. Measure representative usage and set billing alerts before business launch. Prices are USD provider-page figures as checked 2026-09-23, not a quote or guarantee.</w:t>
      </w:r>
    </w:p>
    <w:p>
      <w:pPr>
        <w:pStyle w:val="Heading1"/>
        <w:spacing w:after="80"/>
        <w:keepNext/>
      </w:pPr>
      <w:r>
        <w:rPr>
          <w:sz w:val="19"/>
        </w:rPr>
        <w:t>10. Approvals and unresolved blockers</w:t>
      </w:r>
    </w:p>
    <w:p>
      <w:pPr>
        <w:ind w:left="360" w:hanging="180"/>
        <w:spacing w:after="55"/>
      </w:pPr>
      <w:r>
        <w:rPr>
          <w:sz w:val="18"/>
        </w:rPr>
        <w:t>•  [ ] Owner reviews all current uncommitted/untracked changes before any branch operation. The worktree was observed dirty on main; do not modify these files as part of planning/document generation.</w:t>
      </w:r>
    </w:p>
    <w:p>
      <w:pPr>
        <w:ind w:left="360" w:hanging="180"/>
        <w:spacing w:after="55"/>
      </w:pPr>
      <w:r>
        <w:rPr>
          <w:sz w:val="18"/>
        </w:rPr>
        <w:t>•  [ ] Confirm Vercel Hobby is permitted for a demo that may present payment-request/proof features; if uncertain, use paid/commercial hosting or another eligible provider.</w:t>
      </w:r>
    </w:p>
    <w:p>
      <w:pPr>
        <w:ind w:left="360" w:hanging="180"/>
        <w:spacing w:after="55"/>
      </w:pPr>
      <w:r>
        <w:rPr>
          <w:sz w:val="18"/>
        </w:rPr>
        <w:t>•  [ ] Confirm Koyeb card verification and temporary $29 authorization hold; if unacceptable, select another backend provider and repeat the checks.</w:t>
      </w:r>
    </w:p>
    <w:p>
      <w:pPr>
        <w:ind w:left="360" w:hanging="180"/>
        <w:spacing w:after="55"/>
      </w:pPr>
      <w:r>
        <w:rPr>
          <w:sz w:val="18"/>
        </w:rPr>
        <w:t>•  [ ] Select/test object storage and safely migrate current DB paths; agree which media is public/private.</w:t>
      </w:r>
    </w:p>
    <w:p>
      <w:pPr>
        <w:ind w:left="360" w:hanging="180"/>
        <w:spacing w:after="55"/>
      </w:pPr>
      <w:r>
        <w:rPr>
          <w:sz w:val="18"/>
        </w:rPr>
        <w:t>•  [ ] Approve Gemini user population, data use, model, cost/quota, fallback and clinical scope; keep it disabled until cleared.</w:t>
      </w:r>
    </w:p>
    <w:p>
      <w:pPr>
        <w:ind w:left="360" w:hanging="180"/>
        <w:spacing w:after="55"/>
      </w:pPr>
      <w:r>
        <w:rPr>
          <w:sz w:val="18"/>
        </w:rPr>
        <w:t>•  [ ] Choose different demo and business DB retention/backup policies, data classification and authorized test accounts.</w:t>
      </w:r>
    </w:p>
    <w:p>
      <w:pPr>
        <w:ind w:left="360" w:hanging="180"/>
        <w:spacing w:after="55"/>
      </w:pPr>
      <w:r>
        <w:rPr>
          <w:sz w:val="18"/>
        </w:rPr>
        <w:t>•  [ ] Obtain actual public URLs, verified sender, non-secret config and owner approval before provider account/resource changes.</w:t>
      </w:r>
    </w:p>
    <w:p>
      <w:pPr>
        <w:pStyle w:val="Heading1"/>
        <w:spacing w:after="80"/>
        <w:keepNext/>
      </w:pPr>
      <w:r>
        <w:rPr>
          <w:sz w:val="19"/>
        </w:rPr>
        <w:t>11. Official provider references</w:t>
      </w:r>
    </w:p>
    <w:p>
      <w:pPr/>
      <w:r>
        <w:rPr>
          <w:b/>
          <w:sz w:val="18"/>
        </w:rPr>
        <w:t xml:space="preserve">Vercel pricing: </w:t>
      </w:r>
      <w:hyperlink r:id="rId1">
        <w:r>
          <w:rPr>
            <w:color w:val="0563C1"/>
            <w:u w:val="single"/>
          </w:rPr>
          <w:t>https://vercel.com/pricing</w:t>
        </w:r>
      </w:hyperlink>
    </w:p>
    <w:p>
      <w:pPr/>
      <w:r>
        <w:rPr>
          <w:b/>
          <w:sz w:val="18"/>
        </w:rPr>
        <w:t xml:space="preserve">Vercel Hobby plan: </w:t>
      </w:r>
      <w:hyperlink r:id="rId2">
        <w:r>
          <w:rPr>
            <w:color w:val="0563C1"/>
            <w:u w:val="single"/>
          </w:rPr>
          <w:t>https://vercel.com/docs/plans/hobby</w:t>
        </w:r>
      </w:hyperlink>
    </w:p>
    <w:p>
      <w:pPr/>
      <w:r>
        <w:rPr>
          <w:b/>
          <w:sz w:val="18"/>
        </w:rPr>
        <w:t xml:space="preserve">Vercel commercial fair use: </w:t>
      </w:r>
      <w:hyperlink r:id="rId3">
        <w:r>
          <w:rPr>
            <w:color w:val="0563C1"/>
            <w:u w:val="single"/>
          </w:rPr>
          <w:t>https://vercel.com/docs/limits/fair-use-guidelines</w:t>
        </w:r>
      </w:hyperlink>
    </w:p>
    <w:p>
      <w:pPr/>
      <w:r>
        <w:rPr>
          <w:b/>
          <w:sz w:val="18"/>
        </w:rPr>
        <w:t xml:space="preserve">Koyeb PHP deployment: </w:t>
      </w:r>
      <w:hyperlink r:id="rId4">
        <w:r>
          <w:rPr>
            <w:color w:val="0563C1"/>
            <w:u w:val="single"/>
          </w:rPr>
          <w:t>https://www.koyeb.com/docs/deploy/php</w:t>
        </w:r>
      </w:hyperlink>
    </w:p>
    <w:p>
      <w:pPr/>
      <w:r>
        <w:rPr>
          <w:b/>
          <w:sz w:val="18"/>
        </w:rPr>
        <w:t xml:space="preserve">Koyeb instance types and free limits: </w:t>
      </w:r>
      <w:hyperlink r:id="rId5">
        <w:r>
          <w:rPr>
            <w:color w:val="0563C1"/>
            <w:u w:val="single"/>
          </w:rPr>
          <w:t>https://www.koyeb.com/docs/reference/instances</w:t>
        </w:r>
      </w:hyperlink>
    </w:p>
    <w:p>
      <w:pPr/>
      <w:r>
        <w:rPr>
          <w:b/>
          <w:sz w:val="18"/>
        </w:rPr>
        <w:t xml:space="preserve">Koyeb pricing and card FAQ: </w:t>
      </w:r>
      <w:hyperlink r:id="rId6">
        <w:r>
          <w:rPr>
            <w:color w:val="0563C1"/>
            <w:u w:val="single"/>
          </w:rPr>
          <w:t>https://www.koyeb.com/docs/faqs/pricing</w:t>
        </w:r>
      </w:hyperlink>
    </w:p>
    <w:p>
      <w:pPr/>
      <w:r>
        <w:rPr>
          <w:b/>
          <w:sz w:val="18"/>
        </w:rPr>
        <w:t xml:space="preserve">Aiven MySQL Free limits: </w:t>
      </w:r>
      <w:hyperlink r:id="rId7">
        <w:r>
          <w:rPr>
            <w:color w:val="0563C1"/>
            <w:u w:val="single"/>
          </w:rPr>
          <w:t>https://aiven.io/docs/products/mysql/concepts/mysql-free-tier</w:t>
        </w:r>
      </w:hyperlink>
    </w:p>
    <w:p>
      <w:pPr/>
      <w:r>
        <w:rPr>
          <w:b/>
          <w:sz w:val="18"/>
        </w:rPr>
        <w:t xml:space="preserve">Aiven MySQL pricing: </w:t>
      </w:r>
      <w:hyperlink r:id="rId8">
        <w:r>
          <w:rPr>
            <w:color w:val="0563C1"/>
            <w:u w:val="single"/>
          </w:rPr>
          <w:t>https://aiven.io/pricing/mysql</w:t>
        </w:r>
      </w:hyperlink>
    </w:p>
    <w:p>
      <w:pPr/>
      <w:r>
        <w:rPr>
          <w:b/>
          <w:sz w:val="18"/>
        </w:rPr>
        <w:t xml:space="preserve">Cloudinary billing and credits: </w:t>
      </w:r>
      <w:hyperlink r:id="rId9">
        <w:r>
          <w:rPr>
            <w:color w:val="0563C1"/>
            <w:u w:val="single"/>
          </w:rPr>
          <w:t>https://cloudinary.com/documentation/billing_and_plans</w:t>
        </w:r>
      </w:hyperlink>
    </w:p>
    <w:p>
      <w:pPr/>
      <w:r>
        <w:rPr>
          <w:b/>
          <w:sz w:val="18"/>
        </w:rPr>
        <w:t xml:space="preserve">Cloudinary access control: </w:t>
      </w:r>
      <w:hyperlink r:id="rId10">
        <w:r>
          <w:rPr>
            <w:color w:val="0563C1"/>
            <w:u w:val="single"/>
          </w:rPr>
          <w:t>https://cloudinary.com/documentation/control_access_to_media</w:t>
        </w:r>
      </w:hyperlink>
    </w:p>
    <w:p>
      <w:pPr/>
      <w:r>
        <w:rPr>
          <w:b/>
          <w:sz w:val="18"/>
        </w:rPr>
        <w:t xml:space="preserve">Brevo Free send limits: </w:t>
      </w:r>
      <w:hyperlink r:id="rId11">
        <w:r>
          <w:rPr>
            <w:color w:val="0563C1"/>
            <w:u w:val="single"/>
          </w:rPr>
          <w:t>https://help.brevo.com/hc/en-us/articles/208580669-FAQs-What-are-the-limits-of-the-Free-plan</w:t>
        </w:r>
      </w:hyperlink>
    </w:p>
    <w:p>
      <w:pPr/>
      <w:r>
        <w:rPr>
          <w:b/>
          <w:sz w:val="18"/>
        </w:rPr>
        <w:t xml:space="preserve">Gemini API pricing: </w:t>
      </w:r>
      <w:hyperlink r:id="rId12">
        <w:r>
          <w:rPr>
            <w:color w:val="0563C1"/>
            <w:u w:val="single"/>
          </w:rPr>
          <w:t>https://ai.google.dev/gemini-api/docs/pricing</w:t>
        </w:r>
      </w:hyperlink>
    </w:p>
    <w:p>
      <w:pPr/>
      <w:r>
        <w:rPr>
          <w:b/>
          <w:sz w:val="18"/>
        </w:rPr>
        <w:t xml:space="preserve">Gemini API terms: </w:t>
      </w:r>
      <w:hyperlink r:id="rId13">
        <w:r>
          <w:rPr>
            <w:color w:val="0563C1"/>
            <w:u w:val="single"/>
          </w:rPr>
          <w:t>https://ai.google.dev/gemini-api/terms</w:t>
        </w:r>
      </w:hyperlink>
    </w:p>
    <w:p>
      <w:pPr/>
      <w:r>
        <w:rPr>
          <w:b/>
          <w:sz w:val="18"/>
        </w:rPr>
        <w:t xml:space="preserve">Render free limits: </w:t>
      </w:r>
      <w:hyperlink r:id="rId14">
        <w:r>
          <w:rPr>
            <w:color w:val="0563C1"/>
            <w:u w:val="single"/>
          </w:rPr>
          <w:t>https://render.com/docs/free</w:t>
        </w:r>
      </w:hyperlink>
    </w:p>
    <w:p>
      <w:pPr/>
      <w:r>
        <w:rPr>
          <w:b/>
          <w:sz w:val="18"/>
        </w:rPr>
        <w:t xml:space="preserve">Render Laravel Docker guide: </w:t>
      </w:r>
      <w:hyperlink r:id="rId15">
        <w:r>
          <w:rPr>
            <w:color w:val="0563C1"/>
            <w:u w:val="single"/>
          </w:rPr>
          <w:t>https://render.com/docs/deploy-php-laravel-docker</w:t>
        </w:r>
      </w:hyperlink>
    </w:p>
    <w:p>
      <w:pPr/>
      <w:r>
        <w:rPr>
          <w:b/>
          <w:sz w:val="18"/>
        </w:rPr>
        <w:t xml:space="preserve">Render MySQL guide: </w:t>
      </w:r>
      <w:hyperlink r:id="rId16">
        <w:r>
          <w:rPr>
            <w:color w:val="0563C1"/>
            <w:u w:val="single"/>
          </w:rPr>
          <w:t>https://render.com/docs/deploy-mysql</w:t>
        </w:r>
      </w:hyperlink>
    </w:p>
    <w:p>
      <w:pPr/>
      <w:r>
        <w:rPr>
          <w:b/>
          <w:sz w:val="18"/>
        </w:rPr>
        <w:t xml:space="preserve">Railway pricing: </w:t>
      </w:r>
      <w:hyperlink r:id="rId17">
        <w:r>
          <w:rPr>
            <w:color w:val="0563C1"/>
            <w:u w:val="single"/>
          </w:rPr>
          <w:t>https://railway.com/pricing</w:t>
        </w:r>
      </w:hyperlink>
    </w:p>
    <w:p>
      <w:pPr>
        <w:spacing w:before="80" w:after="80"/>
      </w:pPr>
      <w:r>
        <w:rPr>
          <w:i/>
          <w:sz w:val="16"/>
          <w:color w:val="596579"/>
        </w:rPr>
        <w:t>Provider prices, terms, model availability and allowances can change. These sources were checked on 23 September 2026; re-verify immediately before account creation and deployment.</w:t>
      </w:r>
    </w:p>
    <w:sectPr>
      <w:pgSz w:w="12240" w:h="15840"/>
      <w:pgMar w:top="900" w:right="900" w:bottom="900" w:left="900" w:header="450" w:footer="45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19"/>
    </w:rPr>
    <w:pPr>
      <w:spacing w:after="100" w:line="260" w:lineRule="auto"/>
    </w:pPr>
  </w:style>
  <w:style w:type="paragraph" w:styleId="Title">
    <w:name w:val="Title"/>
    <w:basedOn w:val="Normal"/>
    <w:pPr>
      <w:keepNext/>
      <w:spacing w:before="0" w:after="140"/>
    </w:pPr>
    <w:rPr>
      <w:b/>
      <w:color w:val="17365D"/>
      <w:sz w:val="38"/>
      <w:rFonts w:ascii="Aptos Display" w:hAnsi="Aptos Display"/>
    </w:rPr>
  </w:style>
  <w:style w:type="paragraph" w:styleId="Heading1">
    <w:name w:val="heading 1"/>
    <w:basedOn w:val="Normal"/>
    <w:pPr>
      <w:keepNext/>
      <w:spacing w:before="250" w:after="100"/>
    </w:pPr>
    <w:rPr>
      <w:b/>
      <w:color w:val="17365D"/>
      <w:sz w:val="27"/>
      <w:rFonts w:ascii="Aptos Display" w:hAnsi="Aptos Display"/>
    </w:rPr>
  </w:style>
  <w:style w:type="paragraph" w:styleId="Heading2">
    <w:name w:val="heading 2"/>
    <w:basedOn w:val="Normal"/>
    <w:pPr>
      <w:keepNext/>
      <w:spacing w:before="170" w:after="70"/>
    </w:pPr>
    <w:rPr>
      <w:b/>
      <w:color w:val="247BA0"/>
      <w:sz w:val="21"/>
      <w:rFonts w:ascii="Aptos Display" w:hAnsi="Aptos Display"/>
    </w:rPr>
  </w:style>
</w:styles>
</file>

<file path=word/_rels/document.xml.rels><?xml version='1.0' encoding='utf-8'?>
<rel:Relationships xmlns:rel="http://schemas.openxmlformats.org/package/2006/relationships"><rel:Relationship Id="rIdStyles" Type="http://schemas.openxmlformats.org/officeDocument/2006/relationships/styles" Target="styles.xml" /><rel:Relationship Id="rId1" Type="http://schemas.openxmlformats.org/officeDocument/2006/relationships/hyperlink" Target="https://vercel.com/pricing" TargetMode="External" /><rel:Relationship Id="rId2" Type="http://schemas.openxmlformats.org/officeDocument/2006/relationships/hyperlink" Target="https://vercel.com/docs/plans/hobby" TargetMode="External" /><rel:Relationship Id="rId3" Type="http://schemas.openxmlformats.org/officeDocument/2006/relationships/hyperlink" Target="https://vercel.com/docs/limits/fair-use-guidelines" TargetMode="External" /><rel:Relationship Id="rId4" Type="http://schemas.openxmlformats.org/officeDocument/2006/relationships/hyperlink" Target="https://www.koyeb.com/docs/deploy/php" TargetMode="External" /><rel:Relationship Id="rId5" Type="http://schemas.openxmlformats.org/officeDocument/2006/relationships/hyperlink" Target="https://www.koyeb.com/docs/reference/instances" TargetMode="External" /><rel:Relationship Id="rId6" Type="http://schemas.openxmlformats.org/officeDocument/2006/relationships/hyperlink" Target="https://www.koyeb.com/docs/faqs/pricing" TargetMode="External" /><rel:Relationship Id="rId7" Type="http://schemas.openxmlformats.org/officeDocument/2006/relationships/hyperlink" Target="https://aiven.io/docs/products/mysql/concepts/mysql-free-tier" TargetMode="External" /><rel:Relationship Id="rId8" Type="http://schemas.openxmlformats.org/officeDocument/2006/relationships/hyperlink" Target="https://aiven.io/pricing/mysql" TargetMode="External" /><rel:Relationship Id="rId9" Type="http://schemas.openxmlformats.org/officeDocument/2006/relationships/hyperlink" Target="https://cloudinary.com/documentation/billing_and_plans" TargetMode="External" /><rel:Relationship Id="rId10" Type="http://schemas.openxmlformats.org/officeDocument/2006/relationships/hyperlink" Target="https://cloudinary.com/documentation/control_access_to_media" TargetMode="External" /><rel:Relationship Id="rId11" Type="http://schemas.openxmlformats.org/officeDocument/2006/relationships/hyperlink" Target="https://help.brevo.com/hc/en-us/articles/208580669-FAQs-What-are-the-limits-of-the-Free-plan" TargetMode="External" /><rel:Relationship Id="rId12" Type="http://schemas.openxmlformats.org/officeDocument/2006/relationships/hyperlink" Target="https://ai.google.dev/gemini-api/docs/pricing" TargetMode="External" /><rel:Relationship Id="rId13" Type="http://schemas.openxmlformats.org/officeDocument/2006/relationships/hyperlink" Target="https://ai.google.dev/gemini-api/terms" TargetMode="External" /><rel:Relationship Id="rId14" Type="http://schemas.openxmlformats.org/officeDocument/2006/relationships/hyperlink" Target="https://render.com/docs/free" TargetMode="External" /><rel:Relationship Id="rId15" Type="http://schemas.openxmlformats.org/officeDocument/2006/relationships/hyperlink" Target="https://render.com/docs/deploy-php-laravel-docker" TargetMode="External" /><rel:Relationship Id="rId16" Type="http://schemas.openxmlformats.org/officeDocument/2006/relationships/hyperlink" Target="https://render.com/docs/deploy-mysql" TargetMode="External" /><rel:Relationship Id="rId17" Type="http://schemas.openxmlformats.org/officeDocument/2006/relationships/hyperlink" Target="https://railway.com/pricing" TargetMode="External" /></rel:Relationships>
</file>

<file path=docProps/app.xml><?xml version="1.0" encoding="utf-8"?>
<ep:Properties xmlns:ep="http://schemas.openxmlformats.org/officeDocument/2006/extended-properties">
  <ep:Application>Microsoft Office Word</ep:Application>
  <ep:DocSecurity>0</ep:DocSecurity>
  <ep:ScaleCrop>false</ep:ScaleCrop>
</e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Pawesome Production Hosting &amp; Deployment Plan</dc:title>
  <dc:subject>Capstone demo and business production deployment paths</dc:subject>
  <dc:creator>Pawesome deployment planning</dc:creator>
  <dc:description>Repository-specific deployment plan; planning only.</dc:description>
  <dcterms:created xsi:type="dcterms:W3CDTF">2026-09-23T00:00:00Z</dcterms:created>
</cp:coreProperties>
</file>