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b w:val="0"/>
          <w:bCs w:val="0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b w:val="0"/>
          <w:bCs w:val="0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实验序号：                  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 年  </w:t>
      </w:r>
      <w:r>
        <w:rPr>
          <w:rFonts w:ascii="幼圆" w:cs="幼圆" w:hAnsi="幼圆" w:eastAsia="幼圆"/>
          <w:sz w:val="24"/>
          <w:szCs w:val="24"/>
          <w:rtl w:val="0"/>
          <w:lang w:val="en-US"/>
        </w:rPr>
        <w:t>11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月   </w:t>
      </w:r>
      <w:r>
        <w:rPr>
          <w:rFonts w:ascii="幼圆" w:cs="幼圆" w:hAnsi="幼圆" w:eastAsia="幼圆"/>
          <w:sz w:val="24"/>
          <w:szCs w:val="24"/>
          <w:rtl w:val="0"/>
          <w:lang w:val="en-US"/>
        </w:rPr>
        <w:t>23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日</w:t>
      </w:r>
    </w:p>
    <w:tbl>
      <w:tblPr>
        <w:tblW w:w="78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信计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2015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嘉杰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1501511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Matbla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在级数中的应用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294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188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rtl w:val="0"/>
                <w:lang w:val="en-US"/>
              </w:rPr>
              <w:t>log(2)+1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rtl w:val="0"/>
                <w:lang w:val="en-US"/>
              </w:rPr>
              <w:t>33/8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rtl w:val="0"/>
                <w:lang w:val="en-US"/>
              </w:rPr>
              <w:t>ans =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rPr>
                <w:lang w:val="en-US"/>
              </w:rPr>
            </w:pPr>
            <w:r>
              <w:rPr>
                <w:rFonts w:ascii="Times New Roman" w:hAnsi="Times New Roman"/>
                <w:rtl w:val="0"/>
              </w:rPr>
              <w:t>(3^(1/2)*(x - pi/3)^3)/12 - (3^(1/2)*(x - pi/3))/2 - (3^(1/2)*(x - pi/3)^5)/240 + (3^(1/2)*(x - pi/3)^7)/10080 - (3^(1/2)*(x - pi/3)^9)/725760 - (x - pi/3)^2/4 + (x - pi/3)^4/48 - (x - pi/3)^6/1440 + (x - pi/3)^8/80640 + 1/2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18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</w:tbl>
    <w:p>
      <w:pPr>
        <w:pStyle w:val="正文 A"/>
      </w:pPr>
      <w:r>
        <w:rPr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