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2F4358"/>
          <w:sz w:val="44"/>
          <w:szCs w:val="44"/>
        </w:rPr>
        <w:t xml:space="preserve">SUIVI PROMO</w:t>
      </w:r>
    </w:p>
    <w:p>
      <w:pPr>
        <w:spacing w:after="60" w:before="0"/>
        <w:jc w:val="center"/>
      </w:pPr>
      <w:r>
        <w:rPr>
          <w:sz w:val="28"/>
          <w:szCs w:val="28"/>
        </w:rPr>
        <w:t xml:space="preserve">Mode d'emploi</w:t>
      </w:r>
    </w:p>
    <w:p>
      <w:pPr>
        <w:spacing w:after="400" w:before="0"/>
        <w:jc w:val="center"/>
      </w:pPr>
      <w:r>
        <w:rPr>
          <w:i/>
          <w:iCs/>
          <w:sz w:val="22"/>
          <w:szCs w:val="22"/>
        </w:rPr>
        <w:t xml:space="preserve">Application de suivi des prix et promotions</w:t>
      </w:r>
    </w:p>
    <w:p>
      <w:pPr>
        <w:spacing w:after="500" w:before="0"/>
        <w:jc w:val="center"/>
      </w:pPr>
      <w:r>
        <w:rPr>
          <w:sz w:val="21"/>
          <w:szCs w:val="21"/>
        </w:rPr>
        <w:t xml:space="preserve">Version 3.0 — 13 septembre 2026</w:t>
      </w:r>
    </w:p>
    <w:p>
      <w:pPr>
        <w:shd w:fill="E4F0E8" w:color="auto" w:val="clear"/>
        <w:spacing w:after="140" w:before="60"/>
      </w:pPr>
      <w:r>
        <w:rPr>
          <w:b/>
          <w:bCs/>
          <w:color w:val="1C6B3F"/>
          <w:sz w:val="21"/>
          <w:szCs w:val="21"/>
        </w:rPr>
        <w:t xml:space="preserve">À quoi sert cette application — </w:t>
      </w:r>
      <w:r>
        <w:rPr>
          <w:sz w:val="21"/>
          <w:szCs w:val="21"/>
        </w:rPr>
        <w:t xml:space="preserve">Elle relève automatiquement les promotions des folders de vos enseignes, les rattache à vos seize lignes de fourniture, et vous permet de comparer les prix entre marchands. Les prix sont lus directement sur les images des folders, donc exacts. Elle n'achète rien et ne commande rien : elle vous dit où et à quel prix.</w:t>
      </w:r>
    </w:p>
    <w:p>
      <w:pPr>
        <w:pStyle w:val="Heading1"/>
        <w:spacing w:after="150" w:before="360"/>
      </w:pPr>
      <w:r>
        <w:rPr>
          <w:b/>
          <w:bCs/>
          <w:color w:val="2F4358"/>
          <w:sz w:val="30"/>
          <w:szCs w:val="30"/>
        </w:rPr>
        <w:t xml:space="preserve">1. Ouvrir l'application</w:t>
      </w:r>
    </w:p>
    <w:p>
      <w:pPr>
        <w:spacing w:after="80" w:before="0"/>
      </w:pPr>
      <w:r>
        <w:rPr>
          <w:sz w:val="21"/>
          <w:szCs w:val="21"/>
        </w:rPr>
        <w:t xml:space="preserve">L'adresse est la même sur tous les appareils :</w:t>
      </w:r>
    </w:p>
    <w:p>
      <w:pPr>
        <w:spacing w:after="120" w:before="0"/>
      </w:pPr>
      <w:r>
        <w:rPr>
          <w:b/>
          <w:bCs/>
          <w:sz w:val="21"/>
          <w:szCs w:val="21"/>
        </w:rPr>
        <w:t xml:space="preserve">gerar04577.github.io/suivi-promo/</w:t>
      </w:r>
    </w:p>
    <w:p>
      <w:pPr>
        <w:pStyle w:val="Heading2"/>
        <w:spacing w:after="110" w:before="260"/>
      </w:pPr>
      <w:r>
        <w:rPr>
          <w:b/>
          <w:bCs/>
          <w:color w:val="2F4358"/>
          <w:sz w:val="24"/>
          <w:szCs w:val="24"/>
        </w:rPr>
        <w:t xml:space="preserve">Sur iPhone</w:t>
      </w:r>
    </w:p>
    <w:p>
      <w:pPr>
        <w:pStyle w:val="ListParagraph"/>
        <w:numPr>
          <w:ilvl w:val="0"/>
          <w:numId w:val="2"/>
        </w:numPr>
        <w:spacing w:after="70"/>
      </w:pPr>
      <w:r>
        <w:rPr>
          <w:sz w:val="21"/>
          <w:szCs w:val="21"/>
        </w:rPr>
        <w:t xml:space="preserve">Ouvrez l'adresse dans Safari.</w:t>
      </w:r>
    </w:p>
    <w:p>
      <w:pPr>
        <w:pStyle w:val="ListParagraph"/>
        <w:numPr>
          <w:ilvl w:val="0"/>
          <w:numId w:val="2"/>
        </w:numPr>
        <w:spacing w:after="70"/>
      </w:pPr>
      <w:r>
        <w:rPr>
          <w:sz w:val="21"/>
          <w:szCs w:val="21"/>
        </w:rPr>
        <w:t xml:space="preserve">Appuyez sur le bouton Partager, puis « Sur l'écran d'accueil ».</w:t>
      </w:r>
    </w:p>
    <w:p>
      <w:pPr>
        <w:pStyle w:val="ListParagraph"/>
        <w:numPr>
          <w:ilvl w:val="0"/>
          <w:numId w:val="2"/>
        </w:numPr>
        <w:spacing w:after="70"/>
      </w:pPr>
      <w:r>
        <w:rPr>
          <w:sz w:val="21"/>
          <w:szCs w:val="21"/>
        </w:rPr>
        <w:t xml:space="preserve">L'application s'ouvre ensuite comme n'importe quelle autre, sans barre d'adresse.</w:t>
      </w:r>
    </w:p>
    <w:p>
      <w:pPr>
        <w:pStyle w:val="Heading2"/>
        <w:spacing w:after="110" w:before="260"/>
      </w:pPr>
      <w:r>
        <w:rPr>
          <w:b/>
          <w:bCs/>
          <w:color w:val="2F4358"/>
          <w:sz w:val="24"/>
          <w:szCs w:val="24"/>
        </w:rPr>
        <w:t xml:space="preserve">Sur PC</w:t>
      </w:r>
    </w:p>
    <w:p>
      <w:pPr>
        <w:spacing w:after="120" w:before="0"/>
      </w:pPr>
      <w:r>
        <w:rPr>
          <w:sz w:val="21"/>
          <w:szCs w:val="21"/>
        </w:rPr>
        <w:t xml:space="preserve">Ouvrez simplement l'adresse dans le navigateur. Rien à installer.</w:t>
      </w:r>
    </w:p>
    <w:p>
      <w:pPr>
        <w:shd w:fill="F7ECD9" w:color="auto" w:val="clear"/>
        <w:spacing w:after="140" w:before="60"/>
      </w:pPr>
      <w:r>
        <w:rPr>
          <w:b/>
          <w:bCs/>
          <w:color w:val="8A5A12"/>
          <w:sz w:val="21"/>
          <w:szCs w:val="21"/>
        </w:rPr>
        <w:t xml:space="preserve">Après chaque mise à jour — </w:t>
      </w:r>
      <w:r>
        <w:rPr>
          <w:sz w:val="21"/>
          <w:szCs w:val="21"/>
        </w:rPr>
        <w:t xml:space="preserve">Le numéro de version est affiché en haut de l'écran, à côté du titre. Si vous venez de déposer une nouvelle version sur GitHub et que l'ancien numéro s'affiche encore, fermez complètement l'application et rouvrez-la.</w:t>
      </w:r>
    </w:p>
    <w:p>
      <w:pPr>
        <w:pStyle w:val="Heading1"/>
        <w:spacing w:after="150" w:before="360"/>
      </w:pPr>
      <w:r>
        <w:rPr>
          <w:b/>
          <w:bCs/>
          <w:color w:val="2F4358"/>
          <w:sz w:val="30"/>
          <w:szCs w:val="30"/>
        </w:rPr>
        <w:t xml:space="preserve">2. Les cinq écrans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rPr>
          <w:tblHeader/>
        </w:trPr>
        <w:tc>
          <w:tcPr>
            <w:tcW w:type="dxa" w:w="1600"/>
            <w:shd w:fill="2F4358" w:color="auto" w:val="clear"/>
            <w:tcMar>
              <w:top w:type="dxa" w:w="60"/>
              <w:left w:type="dxa" w:w="90"/>
              <w:bottom w:type="dxa" w:w="60"/>
              <w:right w:type="dxa" w:w="90"/>
            </w:tcMar>
          </w:tcPr>
          <w:p>
            <w:r>
              <w:rPr>
                <w:b/>
                <w:bCs/>
                <w:color w:val="FFFFFF"/>
                <w:sz w:val="18"/>
                <w:szCs w:val="18"/>
              </w:rPr>
              <w:t xml:space="preserve">Écran</w:t>
            </w:r>
          </w:p>
        </w:tc>
        <w:tc>
          <w:tcPr>
            <w:tcW w:type="dxa" w:w="7200"/>
            <w:shd w:fill="2F4358" w:color="auto" w:val="clear"/>
            <w:tcMar>
              <w:top w:type="dxa" w:w="60"/>
              <w:left w:type="dxa" w:w="90"/>
              <w:bottom w:type="dxa" w:w="60"/>
              <w:right w:type="dxa" w:w="90"/>
            </w:tcMar>
          </w:tcPr>
          <w:p>
            <w:r>
              <w:rPr>
                <w:b/>
                <w:bCs/>
                <w:color w:val="FFFFFF"/>
                <w:sz w:val="18"/>
                <w:szCs w:val="18"/>
              </w:rPr>
              <w:t xml:space="preserve">À quoi il sert</w:t>
            </w:r>
          </w:p>
        </w:tc>
      </w:tr>
      <w:tr>
        <w:tc>
          <w:tcPr>
            <w:tcW w:type="dxa" w:w="1600"/>
            <w:tcMar>
              <w:top w:type="dxa" w:w="60"/>
              <w:left w:type="dxa" w:w="90"/>
              <w:bottom w:type="dxa" w:w="60"/>
              <w:right w:type="dxa" w:w="90"/>
            </w:tcMar>
          </w:tcPr>
          <w:p>
            <w:r>
              <w:rPr>
                <w:sz w:val="18"/>
                <w:szCs w:val="18"/>
              </w:rPr>
              <w:t xml:space="preserve">Comparer</w:t>
            </w:r>
          </w:p>
        </w:tc>
        <w:tc>
          <w:tcPr>
            <w:tcW w:type="dxa" w:w="7200"/>
            <w:tcMar>
              <w:top w:type="dxa" w:w="60"/>
              <w:left w:type="dxa" w:w="90"/>
              <w:bottom w:type="dxa" w:w="60"/>
              <w:right w:type="dxa" w:w="90"/>
            </w:tcMar>
          </w:tcPr>
          <w:p>
            <w:r>
              <w:rPr>
                <w:sz w:val="18"/>
                <w:szCs w:val="18"/>
              </w:rPr>
              <w:t xml:space="preserve">Vos seize lignes de fourniture, avec les prix relevés et l'écart entre le moins cher et le plus cher</w:t>
            </w:r>
          </w:p>
        </w:tc>
      </w:tr>
      <w:tr>
        <w:tc>
          <w:tcPr>
            <w:tcW w:type="dxa" w:w="1600"/>
            <w:tcMar>
              <w:top w:type="dxa" w:w="60"/>
              <w:left w:type="dxa" w:w="90"/>
              <w:bottom w:type="dxa" w:w="60"/>
              <w:right w:type="dxa" w:w="90"/>
            </w:tcMar>
          </w:tcPr>
          <w:p>
            <w:r>
              <w:rPr>
                <w:sz w:val="18"/>
                <w:szCs w:val="18"/>
              </w:rPr>
              <w:t xml:space="preserve">Trajet</w:t>
            </w:r>
          </w:p>
        </w:tc>
        <w:tc>
          <w:tcPr>
            <w:tcW w:type="dxa" w:w="7200"/>
            <w:tcMar>
              <w:top w:type="dxa" w:w="60"/>
              <w:left w:type="dxa" w:w="90"/>
              <w:bottom w:type="dxa" w:w="60"/>
              <w:right w:type="dxa" w:w="90"/>
            </w:tcMar>
          </w:tcPr>
          <w:p>
            <w:r>
              <w:rPr>
                <w:sz w:val="18"/>
                <w:szCs w:val="18"/>
              </w:rPr>
              <w:t xml:space="preserve">Calcul du gain net d'un déplacement, compte tenu de la distance et du coût kilométrique</w:t>
            </w:r>
          </w:p>
        </w:tc>
      </w:tr>
      <w:tr>
        <w:tc>
          <w:tcPr>
            <w:tcW w:type="dxa" w:w="1600"/>
            <w:tcMar>
              <w:top w:type="dxa" w:w="60"/>
              <w:left w:type="dxa" w:w="90"/>
              <w:bottom w:type="dxa" w:w="60"/>
              <w:right w:type="dxa" w:w="90"/>
            </w:tcMar>
          </w:tcPr>
          <w:p>
            <w:r>
              <w:rPr>
                <w:sz w:val="18"/>
                <w:szCs w:val="18"/>
              </w:rPr>
              <w:t xml:space="preserve">Réglages</w:t>
            </w:r>
          </w:p>
        </w:tc>
        <w:tc>
          <w:tcPr>
            <w:tcW w:type="dxa" w:w="7200"/>
            <w:tcMar>
              <w:top w:type="dxa" w:w="60"/>
              <w:left w:type="dxa" w:w="90"/>
              <w:bottom w:type="dxa" w:w="60"/>
              <w:right w:type="dxa" w:w="90"/>
            </w:tcMar>
          </w:tcPr>
          <w:p>
            <w:r>
              <w:rPr>
                <w:sz w:val="18"/>
                <w:szCs w:val="18"/>
              </w:rPr>
              <w:t xml:space="preserve">Vos lignes de produits, vos enseignes, le coût au kilomètre</w:t>
            </w:r>
          </w:p>
        </w:tc>
      </w:tr>
      <w:tr>
        <w:tc>
          <w:tcPr>
            <w:tcW w:type="dxa" w:w="1600"/>
            <w:tcMar>
              <w:top w:type="dxa" w:w="60"/>
              <w:left w:type="dxa" w:w="90"/>
              <w:bottom w:type="dxa" w:w="60"/>
              <w:right w:type="dxa" w:w="90"/>
            </w:tcMar>
          </w:tcPr>
          <w:p>
            <w:r>
              <w:rPr>
                <w:sz w:val="18"/>
                <w:szCs w:val="18"/>
              </w:rPr>
              <w:t xml:space="preserve">Offres</w:t>
            </w:r>
          </w:p>
        </w:tc>
        <w:tc>
          <w:tcPr>
            <w:tcW w:type="dxa" w:w="7200"/>
            <w:tcMar>
              <w:top w:type="dxa" w:w="60"/>
              <w:left w:type="dxa" w:w="90"/>
              <w:bottom w:type="dxa" w:w="60"/>
              <w:right w:type="dxa" w:w="90"/>
            </w:tcMar>
          </w:tcPr>
          <w:p>
            <w:r>
              <w:rPr>
                <w:sz w:val="18"/>
                <w:szCs w:val="18"/>
              </w:rPr>
              <w:t xml:space="preserve">Les promotions relevées automatiquement dans les folders — l'écran principal</w:t>
            </w:r>
          </w:p>
        </w:tc>
      </w:tr>
      <w:tr>
        <w:tc>
          <w:tcPr>
            <w:tcW w:type="dxa" w:w="1600"/>
            <w:tcMar>
              <w:top w:type="dxa" w:w="60"/>
              <w:left w:type="dxa" w:w="90"/>
              <w:bottom w:type="dxa" w:w="60"/>
              <w:right w:type="dxa" w:w="90"/>
            </w:tcMar>
          </w:tcPr>
          <w:p>
            <w:r>
              <w:rPr>
                <w:sz w:val="18"/>
                <w:szCs w:val="18"/>
              </w:rPr>
              <w:t xml:space="preserve">Make</w:t>
            </w:r>
          </w:p>
        </w:tc>
        <w:tc>
          <w:tcPr>
            <w:tcW w:type="dxa" w:w="7200"/>
            <w:tcMar>
              <w:top w:type="dxa" w:w="60"/>
              <w:left w:type="dxa" w:w="90"/>
              <w:bottom w:type="dxa" w:w="60"/>
              <w:right w:type="dxa" w:w="90"/>
            </w:tcMar>
          </w:tcPr>
          <w:p>
            <w:r>
              <w:rPr>
                <w:sz w:val="18"/>
                <w:szCs w:val="18"/>
              </w:rPr>
              <w:t xml:space="preserve">Le lancement de la collecte et le journal des envois</w:t>
            </w:r>
          </w:p>
        </w:tc>
      </w:tr>
    </w:tbl>
    <w:p>
      <w:pPr>
        <w:pStyle w:val="Heading1"/>
        <w:spacing w:after="150" w:before="360"/>
      </w:pPr>
      <w:r>
        <w:rPr>
          <w:b/>
          <w:bCs/>
          <w:color w:val="2F4358"/>
          <w:sz w:val="30"/>
          <w:szCs w:val="30"/>
        </w:rPr>
        <w:t xml:space="preserve">3. L'écran Offres</w:t>
      </w:r>
    </w:p>
    <w:p>
      <w:pPr>
        <w:spacing w:after="140" w:before="0"/>
      </w:pPr>
      <w:r>
        <w:rPr>
          <w:sz w:val="21"/>
          <w:szCs w:val="21"/>
        </w:rPr>
        <w:t xml:space="preserve">C'est l'écran que vous consulterez le plus souvent. Il affiche tout ce que la collecte a trouvé.</w:t>
      </w:r>
    </w:p>
    <w:p>
      <w:pPr>
        <w:pStyle w:val="Heading2"/>
        <w:spacing w:after="110" w:before="260"/>
      </w:pPr>
      <w:r>
        <w:rPr>
          <w:b/>
          <w:bCs/>
          <w:color w:val="2F4358"/>
          <w:sz w:val="24"/>
          <w:szCs w:val="24"/>
        </w:rPr>
        <w:t xml:space="preserve">Première utilisation : se connecter</w:t>
      </w:r>
    </w:p>
    <w:p>
      <w:pPr>
        <w:spacing w:after="80" w:before="0"/>
      </w:pPr>
      <w:r>
        <w:rPr>
          <w:sz w:val="21"/>
          <w:szCs w:val="21"/>
        </w:rPr>
        <w:t xml:space="preserve">Les promotions sont déposées dans votre OneDrive, dossier Suivi Promo. L'application doit donc s'y connecter.</w:t>
      </w:r>
    </w:p>
    <w:p>
      <w:pPr>
        <w:pStyle w:val="ListParagraph"/>
        <w:numPr>
          <w:ilvl w:val="0"/>
          <w:numId w:val="3"/>
        </w:numPr>
        <w:spacing w:after="70"/>
      </w:pPr>
      <w:r>
        <w:rPr>
          <w:sz w:val="21"/>
          <w:szCs w:val="21"/>
        </w:rPr>
        <w:t xml:space="preserve">Ouvrez l'écran Offres.</w:t>
      </w:r>
    </w:p>
    <w:p>
      <w:pPr>
        <w:pStyle w:val="ListParagraph"/>
        <w:numPr>
          <w:ilvl w:val="0"/>
          <w:numId w:val="3"/>
        </w:numPr>
        <w:spacing w:after="70"/>
      </w:pPr>
      <w:r>
        <w:rPr>
          <w:sz w:val="21"/>
          <w:szCs w:val="21"/>
        </w:rPr>
        <w:t xml:space="preserve">Appuyez sur « Se connecter à OneDrive ».</w:t>
      </w:r>
    </w:p>
    <w:p>
      <w:pPr>
        <w:pStyle w:val="ListParagraph"/>
        <w:numPr>
          <w:ilvl w:val="0"/>
          <w:numId w:val="3"/>
        </w:numPr>
        <w:spacing w:after="70"/>
      </w:pPr>
      <w:r>
        <w:rPr>
          <w:sz w:val="21"/>
          <w:szCs w:val="21"/>
        </w:rPr>
        <w:t xml:space="preserve">Identifiez-vous avec jemagerard@outlook.fr.</w:t>
      </w:r>
    </w:p>
    <w:p>
      <w:pPr>
        <w:shd w:fill="F7ECD9" w:color="auto" w:val="clear"/>
        <w:spacing w:after="140" w:before="60"/>
      </w:pPr>
      <w:r>
        <w:rPr>
          <w:b/>
          <w:bCs/>
          <w:color w:val="8A5A12"/>
          <w:sz w:val="21"/>
          <w:szCs w:val="21"/>
        </w:rPr>
        <w:t xml:space="preserve">À savoir — </w:t>
      </w:r>
      <w:r>
        <w:rPr>
          <w:sz w:val="21"/>
          <w:szCs w:val="21"/>
        </w:rPr>
        <w:t xml:space="preserve">La connexion vaut pour un seul appareil et une seule session. Elle est à refaire sur l'iPhone et sur le PC, et après avoir fermé le navigateur. Ce n'est pas un défaut : c'est ainsi que fonctionne l'authentification Microsoft sans mot de passe enregistré.</w:t>
      </w:r>
    </w:p>
    <w:p>
      <w:pPr>
        <w:pStyle w:val="Heading2"/>
        <w:spacing w:after="110" w:before="260"/>
      </w:pPr>
      <w:r>
        <w:rPr>
          <w:b/>
          <w:bCs/>
          <w:color w:val="2F4358"/>
          <w:sz w:val="24"/>
          <w:szCs w:val="24"/>
        </w:rPr>
        <w:t xml:space="preserve">Les trois vues</w:t>
      </w:r>
    </w:p>
    <w:p>
      <w:pPr>
        <w:spacing w:after="100" w:before="0"/>
      </w:pPr>
      <w:r>
        <w:rPr>
          <w:sz w:val="21"/>
          <w:szCs w:val="21"/>
        </w:rPr>
        <w:t xml:space="preserve">Trois boutons en haut de l'écran changent la façon dont les offres sont présentées. Les offres sont les mêmes, seul le classement change.</w:t>
      </w:r>
    </w:p>
    <w:p>
      <w:pPr>
        <w:pStyle w:val="Heading3"/>
        <w:spacing w:after="70" w:before="160"/>
      </w:pPr>
      <w:r>
        <w:rPr>
          <w:b/>
          <w:bCs/>
          <w:sz w:val="21"/>
          <w:szCs w:val="21"/>
        </w:rPr>
        <w:t xml:space="preserve">Par catégorie</w:t>
      </w:r>
    </w:p>
    <w:p>
      <w:pPr>
        <w:spacing w:after="120" w:before="0"/>
      </w:pPr>
      <w:r>
        <w:rPr>
          <w:sz w:val="21"/>
          <w:szCs w:val="21"/>
        </w:rPr>
        <w:t xml:space="preserve">Les offres de toutes les enseignes mélangées, regroupées par famille de matériel : Robinetterie, Sanitaire, Peintures, Électroménager, Éclairage, Ventilation, Chauffage. C'est la vue pour comparer les marchands entre eux et décider où acheter.</w:t>
      </w:r>
    </w:p>
    <w:p>
      <w:pPr>
        <w:pStyle w:val="Heading3"/>
        <w:spacing w:after="70" w:before="160"/>
      </w:pPr>
      <w:r>
        <w:rPr>
          <w:b/>
          <w:bCs/>
          <w:sz w:val="21"/>
          <w:szCs w:val="21"/>
        </w:rPr>
        <w:t xml:space="preserve">Par enseigne</w:t>
      </w:r>
    </w:p>
    <w:p>
      <w:pPr>
        <w:spacing w:after="120" w:before="0"/>
      </w:pPr>
      <w:r>
        <w:rPr>
          <w:sz w:val="21"/>
          <w:szCs w:val="21"/>
        </w:rPr>
        <w:t xml:space="preserve">Un groupe par marchand, avec sa distance. C'est la vue pour préparer un passage en magasin : vous voyez d'un coup tout ce qui vous intéresse chez Brico ou chez ELDI.</w:t>
      </w:r>
    </w:p>
    <w:p>
      <w:pPr>
        <w:pStyle w:val="Heading3"/>
        <w:spacing w:after="70" w:before="160"/>
      </w:pPr>
      <w:r>
        <w:rPr>
          <w:b/>
          <w:bCs/>
          <w:sz w:val="21"/>
          <w:szCs w:val="21"/>
        </w:rPr>
        <w:t xml:space="preserve">Tout</w:t>
      </w:r>
    </w:p>
    <w:p>
      <w:pPr>
        <w:spacing w:after="120" w:before="0"/>
      </w:pPr>
      <w:r>
        <w:rPr>
          <w:sz w:val="21"/>
          <w:szCs w:val="21"/>
        </w:rPr>
        <w:t xml:space="preserve">Toutes les offres à la file, de la moins chère à la plus chère, sans regroupement. C'est la vue pour repérer les bonnes affaires sans idée préconçue.</w:t>
      </w:r>
    </w:p>
    <w:p>
      <w:pPr>
        <w:spacing w:after="120" w:before="100"/>
      </w:pPr>
      <w:r>
        <w:rPr>
          <w:sz w:val="21"/>
          <w:szCs w:val="21"/>
        </w:rPr>
        <w:t xml:space="preserve">Chaque groupe replié affiche son nom, le nombre d'offres et le meilleur prix trouvé. Vous n'avez donc pas besoin de tout déplier pour savoir où regarder.</w:t>
      </w:r>
    </w:p>
    <w:p>
      <w:pPr>
        <w:pStyle w:val="Heading2"/>
        <w:spacing w:after="110" w:before="260"/>
      </w:pPr>
      <w:r>
        <w:rPr>
          <w:b/>
          <w:bCs/>
          <w:color w:val="2F4358"/>
          <w:sz w:val="24"/>
          <w:szCs w:val="24"/>
        </w:rPr>
        <w:t xml:space="preserve">Lire une offre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2F4358" w:color="auto" w:val="clear"/>
            <w:tcMar>
              <w:top w:type="dxa" w:w="60"/>
              <w:left w:type="dxa" w:w="90"/>
              <w:bottom w:type="dxa" w:w="60"/>
              <w:right w:type="dxa" w:w="90"/>
            </w:tcMar>
          </w:tcPr>
          <w:p>
            <w:r>
              <w:rPr>
                <w:b/>
                <w:bCs/>
                <w:color w:val="FFFFFF"/>
                <w:sz w:val="18"/>
                <w:szCs w:val="18"/>
              </w:rPr>
              <w:t xml:space="preserve">Ce que vous voyez</w:t>
            </w:r>
          </w:p>
        </w:tc>
        <w:tc>
          <w:tcPr>
            <w:tcW w:type="dxa" w:w="6200"/>
            <w:shd w:fill="2F4358" w:color="auto" w:val="clear"/>
            <w:tcMar>
              <w:top w:type="dxa" w:w="60"/>
              <w:left w:type="dxa" w:w="90"/>
              <w:bottom w:type="dxa" w:w="60"/>
              <w:right w:type="dxa" w:w="90"/>
            </w:tcMar>
          </w:tcPr>
          <w:p>
            <w:r>
              <w:rPr>
                <w:b/>
                <w:bCs/>
                <w:color w:val="FFFFFF"/>
                <w:sz w:val="18"/>
                <w:szCs w:val="18"/>
              </w:rPr>
              <w:t xml:space="preserve">Ce que cela signifie</w:t>
            </w:r>
          </w:p>
        </w:tc>
      </w:tr>
      <w:tr>
        <w:tc>
          <w:tcPr>
            <w:tcW w:type="dxa" w:w="2600"/>
            <w:tcMar>
              <w:top w:type="dxa" w:w="60"/>
              <w:left w:type="dxa" w:w="90"/>
              <w:bottom w:type="dxa" w:w="60"/>
              <w:right w:type="dxa" w:w="90"/>
            </w:tcMar>
          </w:tcPr>
          <w:p>
            <w:r>
              <w:rPr>
                <w:sz w:val="18"/>
                <w:szCs w:val="18"/>
              </w:rPr>
              <w:t xml:space="preserve">Pastille verte à droite</w:t>
            </w:r>
          </w:p>
        </w:tc>
        <w:tc>
          <w:tcPr>
            <w:tcW w:type="dxa" w:w="6200"/>
            <w:tcMar>
              <w:top w:type="dxa" w:w="60"/>
              <w:left w:type="dxa" w:w="90"/>
              <w:bottom w:type="dxa" w:w="60"/>
              <w:right w:type="dxa" w:w="90"/>
            </w:tcMar>
          </w:tcPr>
          <w:p>
            <w:r>
              <w:rPr>
                <w:sz w:val="18"/>
                <w:szCs w:val="18"/>
              </w:rPr>
              <w:t xml:space="preserve">La ligne de votre liste à laquelle l'offre correspond. Sans pastille, l'offre n'a pas été rattachée</w:t>
            </w:r>
          </w:p>
        </w:tc>
      </w:tr>
      <w:tr>
        <w:tc>
          <w:tcPr>
            <w:tcW w:type="dxa" w:w="2600"/>
            <w:tcMar>
              <w:top w:type="dxa" w:w="60"/>
              <w:left w:type="dxa" w:w="90"/>
              <w:bottom w:type="dxa" w:w="60"/>
              <w:right w:type="dxa" w:w="90"/>
            </w:tcMar>
          </w:tcPr>
          <w:p>
            <w:r>
              <w:rPr>
                <w:sz w:val="18"/>
                <w:szCs w:val="18"/>
              </w:rPr>
              <w:t xml:space="preserve">Prix en gros</w:t>
            </w:r>
          </w:p>
        </w:tc>
        <w:tc>
          <w:tcPr>
            <w:tcW w:type="dxa" w:w="6200"/>
            <w:tcMar>
              <w:top w:type="dxa" w:w="60"/>
              <w:left w:type="dxa" w:w="90"/>
              <w:bottom w:type="dxa" w:w="60"/>
              <w:right w:type="dxa" w:w="90"/>
            </w:tcMar>
          </w:tcPr>
          <w:p>
            <w:r>
              <w:rPr>
                <w:sz w:val="18"/>
                <w:szCs w:val="18"/>
              </w:rPr>
              <w:t xml:space="preserve">Le prix promotionnel, lu sur l'image du folder</w:t>
            </w:r>
          </w:p>
        </w:tc>
      </w:tr>
      <w:tr>
        <w:tc>
          <w:tcPr>
            <w:tcW w:type="dxa" w:w="2600"/>
            <w:tcMar>
              <w:top w:type="dxa" w:w="60"/>
              <w:left w:type="dxa" w:w="90"/>
              <w:bottom w:type="dxa" w:w="60"/>
              <w:right w:type="dxa" w:w="90"/>
            </w:tcMar>
          </w:tcPr>
          <w:p>
            <w:r>
              <w:rPr>
                <w:sz w:val="18"/>
                <w:szCs w:val="18"/>
              </w:rPr>
              <w:t xml:space="preserve">Prix barré à côté</w:t>
            </w:r>
          </w:p>
        </w:tc>
        <w:tc>
          <w:tcPr>
            <w:tcW w:type="dxa" w:w="6200"/>
            <w:tcMar>
              <w:top w:type="dxa" w:w="60"/>
              <w:left w:type="dxa" w:w="90"/>
              <w:bottom w:type="dxa" w:w="60"/>
              <w:right w:type="dxa" w:w="90"/>
            </w:tcMar>
          </w:tcPr>
          <w:p>
            <w:r>
              <w:rPr>
                <w:sz w:val="18"/>
                <w:szCs w:val="18"/>
              </w:rPr>
              <w:t xml:space="preserve">Le prix habituel. S'il est absent, ce n'est pas une promotion mais un prix courant</w:t>
            </w:r>
          </w:p>
        </w:tc>
      </w:tr>
      <w:tr>
        <w:tc>
          <w:tcPr>
            <w:tcW w:type="dxa" w:w="2600"/>
            <w:tcMar>
              <w:top w:type="dxa" w:w="60"/>
              <w:left w:type="dxa" w:w="90"/>
              <w:bottom w:type="dxa" w:w="60"/>
              <w:right w:type="dxa" w:w="90"/>
            </w:tcMar>
          </w:tcPr>
          <w:p>
            <w:r>
              <w:rPr>
                <w:sz w:val="18"/>
                <w:szCs w:val="18"/>
              </w:rPr>
              <w:t xml:space="preserve">Prix au litre</w:t>
            </w:r>
          </w:p>
        </w:tc>
        <w:tc>
          <w:tcPr>
            <w:tcW w:type="dxa" w:w="6200"/>
            <w:tcMar>
              <w:top w:type="dxa" w:w="60"/>
              <w:left w:type="dxa" w:w="90"/>
              <w:bottom w:type="dxa" w:w="60"/>
              <w:right w:type="dxa" w:w="90"/>
            </w:tcMar>
          </w:tcPr>
          <w:p>
            <w:r>
              <w:rPr>
                <w:sz w:val="18"/>
                <w:szCs w:val="18"/>
              </w:rPr>
              <w:t xml:space="preserve">Calculé quand la contenance est connue. C'est lui qui compte pour les peintures</w:t>
            </w:r>
          </w:p>
        </w:tc>
      </w:tr>
      <w:tr>
        <w:tc>
          <w:tcPr>
            <w:tcW w:type="dxa" w:w="2600"/>
            <w:tcMar>
              <w:top w:type="dxa" w:w="60"/>
              <w:left w:type="dxa" w:w="90"/>
              <w:bottom w:type="dxa" w:w="60"/>
              <w:right w:type="dxa" w:w="90"/>
            </w:tcMar>
          </w:tcPr>
          <w:p>
            <w:r>
              <w:rPr>
                <w:sz w:val="18"/>
                <w:szCs w:val="18"/>
              </w:rPr>
              <w:t xml:space="preserve">Ligne du bas</w:t>
            </w:r>
          </w:p>
        </w:tc>
        <w:tc>
          <w:tcPr>
            <w:tcW w:type="dxa" w:w="6200"/>
            <w:tcMar>
              <w:top w:type="dxa" w:w="60"/>
              <w:left w:type="dxa" w:w="90"/>
              <w:bottom w:type="dxa" w:w="60"/>
              <w:right w:type="dxa" w:w="90"/>
            </w:tcMar>
          </w:tcPr>
          <w:p>
            <w:r>
              <w:rPr>
                <w:sz w:val="18"/>
                <w:szCs w:val="18"/>
              </w:rPr>
              <w:t xml:space="preserve">Enseigne, référence du marchand, page du folder, date de la collecte</w:t>
            </w:r>
          </w:p>
        </w:tc>
      </w:tr>
    </w:tbl>
    <w:p>
      <w:pPr>
        <w:pStyle w:val="Heading2"/>
        <w:spacing w:after="110" w:before="260"/>
      </w:pPr>
      <w:r>
        <w:rPr>
          <w:b/>
          <w:bCs/>
          <w:color w:val="2F4358"/>
          <w:sz w:val="24"/>
          <w:szCs w:val="24"/>
        </w:rPr>
        <w:t xml:space="preserve">Les deux bandeaux d'information</w:t>
      </w:r>
    </w:p>
    <w:p>
      <w:pPr>
        <w:pStyle w:val="Heading3"/>
        <w:spacing w:after="70" w:before="160"/>
      </w:pPr>
      <w:r>
        <w:rPr>
          <w:b/>
          <w:bCs/>
          <w:sz w:val="21"/>
          <w:szCs w:val="21"/>
        </w:rPr>
        <w:t xml:space="preserve">État de la collecte</w:t>
      </w:r>
    </w:p>
    <w:p>
      <w:pPr>
        <w:spacing w:after="120" w:before="0"/>
      </w:pPr>
      <w:r>
        <w:rPr>
          <w:sz w:val="21"/>
          <w:szCs w:val="21"/>
        </w:rPr>
        <w:t xml:space="preserve">En haut de l'écran. Vert quand toutes les enseignes ont été collectées aujourd'hui, avec l'heure de fin. Ambre quand il en manque, avec le nom de celles qui manquent. C'est ainsi que vous savez si la collecte est terminée.</w:t>
      </w:r>
    </w:p>
    <w:p>
      <w:pPr>
        <w:pStyle w:val="Heading3"/>
        <w:spacing w:after="70" w:before="160"/>
      </w:pPr>
      <w:r>
        <w:rPr>
          <w:b/>
          <w:bCs/>
          <w:sz w:val="21"/>
          <w:szCs w:val="21"/>
        </w:rPr>
        <w:t xml:space="preserve">Alerte enseigne muette</w:t>
      </w:r>
    </w:p>
    <w:p>
      <w:pPr>
        <w:spacing w:after="120" w:before="0"/>
      </w:pPr>
      <w:r>
        <w:rPr>
          <w:sz w:val="21"/>
          <w:szCs w:val="21"/>
        </w:rPr>
        <w:t xml:space="preserve">Bandeau rouge. Il apparaît quand une enseigne n'a rien rapporté lors de ses deux dernières collectes. C'est le signe que l'adresse de son folder a changé et qu'il faut la corriger.</w:t>
      </w:r>
    </w:p>
    <w:p>
      <w:pPr>
        <w:shd w:fill="F7ECD9" w:color="auto" w:val="clear"/>
        <w:spacing w:after="140" w:before="60"/>
      </w:pPr>
      <w:r>
        <w:rPr>
          <w:b/>
          <w:bCs/>
          <w:color w:val="8A5A12"/>
          <w:sz w:val="21"/>
          <w:szCs w:val="21"/>
        </w:rPr>
        <w:t xml:space="preserve">Pourquoi deux collectes et non une — </w:t>
      </w:r>
      <w:r>
        <w:rPr>
          <w:sz w:val="21"/>
          <w:szCs w:val="21"/>
        </w:rPr>
        <w:t xml:space="preserve">Un folder peut très bien ne contenir aucune promotion de votre liste : cela arrive régulièrement, et ce n'est pas une panne. Deux collectes vides d'affilée, en revanche, signalent presque toujours une adresse périmée.</w:t>
      </w:r>
    </w:p>
    <w:p>
      <w:pPr>
        <w:pStyle w:val="Heading1"/>
        <w:spacing w:after="150" w:before="360"/>
      </w:pPr>
      <w:r>
        <w:rPr>
          <w:b/>
          <w:bCs/>
          <w:color w:val="2F4358"/>
          <w:sz w:val="30"/>
          <w:szCs w:val="30"/>
        </w:rPr>
        <w:t xml:space="preserve">4. Lancer une collecte</w:t>
      </w:r>
    </w:p>
    <w:p>
      <w:pPr>
        <w:pStyle w:val="ListParagraph"/>
        <w:numPr>
          <w:ilvl w:val="0"/>
          <w:numId w:val="4"/>
        </w:numPr>
        <w:spacing w:after="70"/>
      </w:pPr>
      <w:r>
        <w:rPr>
          <w:sz w:val="21"/>
          <w:szCs w:val="21"/>
        </w:rPr>
        <w:t xml:space="preserve">Ouvrez l'écran Make.</w:t>
      </w:r>
    </w:p>
    <w:p>
      <w:pPr>
        <w:pStyle w:val="ListParagraph"/>
        <w:numPr>
          <w:ilvl w:val="0"/>
          <w:numId w:val="4"/>
        </w:numPr>
        <w:spacing w:after="70"/>
      </w:pPr>
      <w:r>
        <w:rPr>
          <w:sz w:val="21"/>
          <w:szCs w:val="21"/>
        </w:rPr>
        <w:t xml:space="preserve">Vérifiez que le bandeau vert affiche bien l'adresse du webhook.</w:t>
      </w:r>
    </w:p>
    <w:p>
      <w:pPr>
        <w:pStyle w:val="ListParagraph"/>
        <w:numPr>
          <w:ilvl w:val="0"/>
          <w:numId w:val="4"/>
        </w:numPr>
        <w:spacing w:after="70"/>
      </w:pPr>
      <w:r>
        <w:rPr>
          <w:sz w:val="21"/>
          <w:szCs w:val="21"/>
        </w:rPr>
        <w:t xml:space="preserve">Appuyez sur « Lancer la collecte maintenant ».</w:t>
      </w:r>
    </w:p>
    <w:p>
      <w:pPr>
        <w:pStyle w:val="ListParagraph"/>
        <w:numPr>
          <w:ilvl w:val="0"/>
          <w:numId w:val="4"/>
        </w:numPr>
        <w:spacing w:after="70"/>
      </w:pPr>
      <w:r>
        <w:rPr>
          <w:sz w:val="21"/>
          <w:szCs w:val="21"/>
        </w:rPr>
        <w:t xml:space="preserve">Le journal en bas confirme l'envoi et la réponse.</w:t>
      </w:r>
    </w:p>
    <w:p>
      <w:pPr>
        <w:pStyle w:val="ListParagraph"/>
        <w:numPr>
          <w:ilvl w:val="0"/>
          <w:numId w:val="4"/>
        </w:numPr>
        <w:spacing w:after="70"/>
      </w:pPr>
      <w:r>
        <w:rPr>
          <w:sz w:val="21"/>
          <w:szCs w:val="21"/>
        </w:rPr>
        <w:t xml:space="preserve">Attendez : comptez une dizaine de minutes par enseigne, davantage pour les gros folders.</w:t>
      </w:r>
    </w:p>
    <w:p>
      <w:pPr>
        <w:pStyle w:val="ListParagraph"/>
        <w:numPr>
          <w:ilvl w:val="0"/>
          <w:numId w:val="4"/>
        </w:numPr>
        <w:spacing w:after="70"/>
      </w:pPr>
      <w:r>
        <w:rPr>
          <w:sz w:val="21"/>
          <w:szCs w:val="21"/>
        </w:rPr>
        <w:t xml:space="preserve">Revenez sur l'écran Offres et appuyez sur « Rafraîchir ».</w:t>
      </w:r>
    </w:p>
    <w:p>
      <w:pPr>
        <w:spacing w:after="120" w:before="80"/>
      </w:pPr>
      <w:r>
        <w:rPr>
          <w:sz w:val="21"/>
          <w:szCs w:val="21"/>
        </w:rPr>
        <w:t xml:space="preserve">Le bandeau d'état vous dira si la collecte est terminée.</w:t>
      </w:r>
    </w:p>
    <w:p>
      <w:pPr>
        <w:shd w:fill="F2F0EC" w:color="auto" w:val="clear"/>
        <w:spacing w:after="140" w:before="60"/>
      </w:pPr>
      <w:r>
        <w:rPr>
          <w:b/>
          <w:bCs/>
          <w:color w:val="2F4358"/>
          <w:sz w:val="21"/>
          <w:szCs w:val="21"/>
        </w:rPr>
        <w:t xml:space="preserve">Pourquoi c'est long — </w:t>
      </w:r>
      <w:r>
        <w:rPr>
          <w:sz w:val="21"/>
          <w:szCs w:val="21"/>
        </w:rPr>
        <w:t xml:space="preserve">Chaque page du folder est téléchargée en image, puis lue par une intelligence artificielle qui relève les produits et leurs prix. C'est ce qui rend les prix exacts, mais cela prend du temps. Une collecte hebdomadaire automatique, le dimanche soir, évite d'avoir à attendre.</w:t>
      </w:r>
    </w:p>
    <w:p>
      <w:pPr>
        <w:pStyle w:val="Heading1"/>
        <w:spacing w:after="150" w:before="360"/>
      </w:pPr>
      <w:r>
        <w:rPr>
          <w:b/>
          <w:bCs/>
          <w:color w:val="2F4358"/>
          <w:sz w:val="30"/>
          <w:szCs w:val="30"/>
        </w:rPr>
        <w:t xml:space="preserve">5. Modifier vos lignes de produits</w:t>
      </w:r>
    </w:p>
    <w:p>
      <w:pPr>
        <w:spacing w:after="100" w:before="0"/>
      </w:pPr>
      <w:r>
        <w:rPr>
          <w:sz w:val="21"/>
          <w:szCs w:val="21"/>
        </w:rPr>
        <w:t xml:space="preserve">Dans l'écran Réglages, vous pouvez ajouter, modifier ou supprimer une ligne.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6900"/>
      </w:tblGrid>
      <w:tr>
        <w:trPr>
          <w:tblHeader/>
        </w:trPr>
        <w:tc>
          <w:tcPr>
            <w:tcW w:type="dxa" w:w="1900"/>
            <w:shd w:fill="2F4358" w:color="auto" w:val="clear"/>
            <w:tcMar>
              <w:top w:type="dxa" w:w="60"/>
              <w:left w:type="dxa" w:w="90"/>
              <w:bottom w:type="dxa" w:w="60"/>
              <w:right w:type="dxa" w:w="90"/>
            </w:tcMar>
          </w:tcPr>
          <w:p>
            <w:r>
              <w:rPr>
                <w:b/>
                <w:bCs/>
                <w:color w:val="FFFFFF"/>
                <w:sz w:val="18"/>
                <w:szCs w:val="18"/>
              </w:rPr>
              <w:t xml:space="preserve">Champ</w:t>
            </w:r>
          </w:p>
        </w:tc>
        <w:tc>
          <w:tcPr>
            <w:tcW w:type="dxa" w:w="6900"/>
            <w:shd w:fill="2F4358" w:color="auto" w:val="clear"/>
            <w:tcMar>
              <w:top w:type="dxa" w:w="60"/>
              <w:left w:type="dxa" w:w="90"/>
              <w:bottom w:type="dxa" w:w="60"/>
              <w:right w:type="dxa" w:w="90"/>
            </w:tcMar>
          </w:tcPr>
          <w:p>
            <w:r>
              <w:rPr>
                <w:b/>
                <w:bCs/>
                <w:color w:val="FFFFFF"/>
                <w:sz w:val="18"/>
                <w:szCs w:val="18"/>
              </w:rPr>
              <w:t xml:space="preserve">Rôle</w:t>
            </w:r>
          </w:p>
        </w:tc>
      </w:tr>
      <w:tr>
        <w:tc>
          <w:tcPr>
            <w:tcW w:type="dxa" w:w="1900"/>
            <w:tcMar>
              <w:top w:type="dxa" w:w="60"/>
              <w:left w:type="dxa" w:w="90"/>
              <w:bottom w:type="dxa" w:w="60"/>
              <w:right w:type="dxa" w:w="90"/>
            </w:tcMar>
          </w:tcPr>
          <w:p>
            <w:r>
              <w:rPr>
                <w:sz w:val="18"/>
                <w:szCs w:val="18"/>
              </w:rPr>
              <w:t xml:space="preserve">Nom</w:t>
            </w:r>
          </w:p>
        </w:tc>
        <w:tc>
          <w:tcPr>
            <w:tcW w:type="dxa" w:w="6900"/>
            <w:tcMar>
              <w:top w:type="dxa" w:w="60"/>
              <w:left w:type="dxa" w:w="90"/>
              <w:bottom w:type="dxa" w:w="60"/>
              <w:right w:type="dxa" w:w="90"/>
            </w:tcMar>
          </w:tcPr>
          <w:p>
            <w:r>
              <w:rPr>
                <w:sz w:val="18"/>
                <w:szCs w:val="18"/>
              </w:rPr>
              <w:t xml:space="preserve">Le libellé affiché dans les listes</w:t>
            </w:r>
          </w:p>
        </w:tc>
      </w:tr>
      <w:tr>
        <w:tc>
          <w:tcPr>
            <w:tcW w:type="dxa" w:w="1900"/>
            <w:tcMar>
              <w:top w:type="dxa" w:w="60"/>
              <w:left w:type="dxa" w:w="90"/>
              <w:bottom w:type="dxa" w:w="60"/>
              <w:right w:type="dxa" w:w="90"/>
            </w:tcMar>
          </w:tcPr>
          <w:p>
            <w:r>
              <w:rPr>
                <w:sz w:val="18"/>
                <w:szCs w:val="18"/>
              </w:rPr>
              <w:t xml:space="preserve">Description exacte</w:t>
            </w:r>
          </w:p>
        </w:tc>
        <w:tc>
          <w:tcPr>
            <w:tcW w:type="dxa" w:w="6900"/>
            <w:tcMar>
              <w:top w:type="dxa" w:w="60"/>
              <w:left w:type="dxa" w:w="90"/>
              <w:bottom w:type="dxa" w:w="60"/>
              <w:right w:type="dxa" w:w="90"/>
            </w:tcMar>
          </w:tcPr>
          <w:p>
            <w:r>
              <w:rPr>
                <w:sz w:val="18"/>
                <w:szCs w:val="18"/>
              </w:rPr>
              <w:t xml:space="preserve">Marque, modèle, dimensions — ce qui garantit qu'on compare le même article</w:t>
            </w:r>
          </w:p>
        </w:tc>
      </w:tr>
      <w:tr>
        <w:tc>
          <w:tcPr>
            <w:tcW w:type="dxa" w:w="1900"/>
            <w:tcMar>
              <w:top w:type="dxa" w:w="60"/>
              <w:left w:type="dxa" w:w="90"/>
              <w:bottom w:type="dxa" w:w="60"/>
              <w:right w:type="dxa" w:w="90"/>
            </w:tcMar>
          </w:tcPr>
          <w:p>
            <w:r>
              <w:rPr>
                <w:sz w:val="18"/>
                <w:szCs w:val="18"/>
              </w:rPr>
              <w:t xml:space="preserve">Mots-clés</w:t>
            </w:r>
          </w:p>
        </w:tc>
        <w:tc>
          <w:tcPr>
            <w:tcW w:type="dxa" w:w="6900"/>
            <w:tcMar>
              <w:top w:type="dxa" w:w="60"/>
              <w:left w:type="dxa" w:w="90"/>
              <w:bottom w:type="dxa" w:w="60"/>
              <w:right w:type="dxa" w:w="90"/>
            </w:tcMar>
          </w:tcPr>
          <w:p>
            <w:r>
              <w:rPr>
                <w:sz w:val="18"/>
                <w:szCs w:val="18"/>
              </w:rPr>
              <w:t xml:space="preserve">Les termes qui permettent de rattacher une offre à cette ligne</w:t>
            </w:r>
          </w:p>
        </w:tc>
      </w:tr>
      <w:tr>
        <w:tc>
          <w:tcPr>
            <w:tcW w:type="dxa" w:w="1900"/>
            <w:tcMar>
              <w:top w:type="dxa" w:w="60"/>
              <w:left w:type="dxa" w:w="90"/>
              <w:bottom w:type="dxa" w:w="60"/>
              <w:right w:type="dxa" w:w="90"/>
            </w:tcMar>
          </w:tcPr>
          <w:p>
            <w:r>
              <w:rPr>
                <w:sz w:val="18"/>
                <w:szCs w:val="18"/>
              </w:rPr>
              <w:t xml:space="preserve">Exclusions</w:t>
            </w:r>
          </w:p>
        </w:tc>
        <w:tc>
          <w:tcPr>
            <w:tcW w:type="dxa" w:w="6900"/>
            <w:tcMar>
              <w:top w:type="dxa" w:w="60"/>
              <w:left w:type="dxa" w:w="90"/>
              <w:bottom w:type="dxa" w:w="60"/>
              <w:right w:type="dxa" w:w="90"/>
            </w:tcMar>
          </w:tcPr>
          <w:p>
            <w:r>
              <w:rPr>
                <w:sz w:val="18"/>
                <w:szCs w:val="18"/>
              </w:rPr>
              <w:t xml:space="preserve">Les termes qui empêchent un rattachement. Indispensables pour éviter les confusions</w:t>
            </w:r>
          </w:p>
        </w:tc>
      </w:tr>
      <w:tr>
        <w:tc>
          <w:tcPr>
            <w:tcW w:type="dxa" w:w="1900"/>
            <w:tcMar>
              <w:top w:type="dxa" w:w="60"/>
              <w:left w:type="dxa" w:w="90"/>
              <w:bottom w:type="dxa" w:w="60"/>
              <w:right w:type="dxa" w:w="90"/>
            </w:tcMar>
          </w:tcPr>
          <w:p>
            <w:r>
              <w:rPr>
                <w:sz w:val="18"/>
                <w:szCs w:val="18"/>
              </w:rPr>
              <w:t xml:space="preserve">Unités</w:t>
            </w:r>
          </w:p>
        </w:tc>
        <w:tc>
          <w:tcPr>
            <w:tcW w:type="dxa" w:w="6900"/>
            <w:tcMar>
              <w:top w:type="dxa" w:w="60"/>
              <w:left w:type="dxa" w:w="90"/>
              <w:bottom w:type="dxa" w:w="60"/>
              <w:right w:type="dxa" w:w="90"/>
            </w:tcMar>
          </w:tcPr>
          <w:p>
            <w:r>
              <w:rPr>
                <w:sz w:val="18"/>
                <w:szCs w:val="18"/>
              </w:rPr>
              <w:t xml:space="preserve">Le nombre de logements concernés, qui sert à calculer l'enjeu</w:t>
            </w:r>
          </w:p>
        </w:tc>
      </w:tr>
    </w:tbl>
    <w:p>
      <w:pPr>
        <w:shd w:fill="F7ECD9" w:color="auto" w:val="clear"/>
        <w:spacing w:after="140" w:before="60"/>
      </w:pPr>
      <w:r>
        <w:rPr>
          <w:b/>
          <w:bCs/>
          <w:color w:val="8A5A12"/>
          <w:sz w:val="21"/>
          <w:szCs w:val="21"/>
        </w:rPr>
        <w:t xml:space="preserve">Un exemple qui illustre l'importance des exclusions — </w:t>
      </w:r>
      <w:r>
        <w:rPr>
          <w:sz w:val="21"/>
          <w:szCs w:val="21"/>
        </w:rPr>
        <w:t xml:space="preserve">La ligne Pack WC porte le mot-clé « wc » et les exclusions « suspendu, bâti, abattant ». Sans ces exclusions, un WC suspendu avec bâti-support ou un abattant vendu seul se rattacheraient à votre ligne et fausseraient la comparaison.</w:t>
      </w:r>
    </w:p>
    <w:p>
      <w:pPr>
        <w:pStyle w:val="Heading1"/>
        <w:spacing w:after="150" w:before="360"/>
      </w:pPr>
      <w:r>
        <w:rPr>
          <w:b/>
          <w:bCs/>
          <w:color w:val="2F4358"/>
          <w:sz w:val="30"/>
          <w:szCs w:val="30"/>
        </w:rPr>
        <w:t xml:space="preserve">6. Que faire si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2F4358" w:color="auto" w:val="clear"/>
            <w:tcMar>
              <w:top w:type="dxa" w:w="60"/>
              <w:left w:type="dxa" w:w="90"/>
              <w:bottom w:type="dxa" w:w="60"/>
              <w:right w:type="dxa" w:w="90"/>
            </w:tcMar>
          </w:tcPr>
          <w:p>
            <w:r>
              <w:rPr>
                <w:b/>
                <w:bCs/>
                <w:color w:val="FFFFFF"/>
                <w:sz w:val="18"/>
                <w:szCs w:val="18"/>
              </w:rPr>
              <w:t xml:space="preserve">Symptôme</w:t>
            </w:r>
          </w:p>
        </w:tc>
        <w:tc>
          <w:tcPr>
            <w:tcW w:type="dxa" w:w="5800"/>
            <w:shd w:fill="2F4358" w:color="auto" w:val="clear"/>
            <w:tcMar>
              <w:top w:type="dxa" w:w="60"/>
              <w:left w:type="dxa" w:w="90"/>
              <w:bottom w:type="dxa" w:w="60"/>
              <w:right w:type="dxa" w:w="90"/>
            </w:tcMar>
          </w:tcPr>
          <w:p>
            <w:r>
              <w:rPr>
                <w:b/>
                <w:bCs/>
                <w:color w:val="FFFFFF"/>
                <w:sz w:val="18"/>
                <w:szCs w:val="18"/>
              </w:rPr>
              <w:t xml:space="preserve">Cause probable et remède</w:t>
            </w:r>
          </w:p>
        </w:tc>
      </w:tr>
      <w:tr>
        <w:tc>
          <w:tcPr>
            <w:tcW w:type="dxa" w:w="3000"/>
            <w:tcMar>
              <w:top w:type="dxa" w:w="60"/>
              <w:left w:type="dxa" w:w="90"/>
              <w:bottom w:type="dxa" w:w="60"/>
              <w:right w:type="dxa" w:w="90"/>
            </w:tcMar>
          </w:tcPr>
          <w:p>
            <w:r>
              <w:rPr>
                <w:sz w:val="18"/>
                <w:szCs w:val="18"/>
              </w:rPr>
              <w:t xml:space="preserve">L'écran Offres reste vide sur le PC alors qu'il fonctionne sur l'iPhone</w:t>
            </w:r>
          </w:p>
        </w:tc>
        <w:tc>
          <w:tcPr>
            <w:tcW w:type="dxa" w:w="5800"/>
            <w:tcMar>
              <w:top w:type="dxa" w:w="60"/>
              <w:left w:type="dxa" w:w="90"/>
              <w:bottom w:type="dxa" w:w="60"/>
              <w:right w:type="dxa" w:w="90"/>
            </w:tcMar>
          </w:tcPr>
          <w:p>
            <w:r>
              <w:rPr>
                <w:sz w:val="18"/>
                <w:szCs w:val="18"/>
              </w:rPr>
              <w:t xml:space="preserve">La connexion Microsoft vaut par appareil. Cliquez sur « Se connecter à OneDrive » sur le PC</w:t>
            </w:r>
          </w:p>
        </w:tc>
      </w:tr>
      <w:tr>
        <w:tc>
          <w:tcPr>
            <w:tcW w:type="dxa" w:w="3000"/>
            <w:tcMar>
              <w:top w:type="dxa" w:w="60"/>
              <w:left w:type="dxa" w:w="90"/>
              <w:bottom w:type="dxa" w:w="60"/>
              <w:right w:type="dxa" w:w="90"/>
            </w:tcMar>
          </w:tcPr>
          <w:p>
            <w:r>
              <w:rPr>
                <w:sz w:val="18"/>
                <w:szCs w:val="18"/>
              </w:rPr>
              <w:t xml:space="preserve">Une enseigne apparaît en rouge dans l'alerte</w:t>
            </w:r>
          </w:p>
        </w:tc>
        <w:tc>
          <w:tcPr>
            <w:tcW w:type="dxa" w:w="5800"/>
            <w:tcMar>
              <w:top w:type="dxa" w:w="60"/>
              <w:left w:type="dxa" w:w="90"/>
              <w:bottom w:type="dxa" w:w="60"/>
              <w:right w:type="dxa" w:w="90"/>
            </w:tcMar>
          </w:tcPr>
          <w:p>
            <w:r>
              <w:rPr>
                <w:sz w:val="18"/>
                <w:szCs w:val="18"/>
              </w:rPr>
              <w:t xml:space="preserve">L'adresse de son folder a changé. Il faut la corriger dans le scénario de collecte</w:t>
            </w:r>
          </w:p>
        </w:tc>
      </w:tr>
      <w:tr>
        <w:tc>
          <w:tcPr>
            <w:tcW w:type="dxa" w:w="3000"/>
            <w:tcMar>
              <w:top w:type="dxa" w:w="60"/>
              <w:left w:type="dxa" w:w="90"/>
              <w:bottom w:type="dxa" w:w="60"/>
              <w:right w:type="dxa" w:w="90"/>
            </w:tcMar>
          </w:tcPr>
          <w:p>
            <w:r>
              <w:rPr>
                <w:sz w:val="18"/>
                <w:szCs w:val="18"/>
              </w:rPr>
              <w:t xml:space="preserve">Le bandeau d'état reste ambre après la collecte</w:t>
            </w:r>
          </w:p>
        </w:tc>
        <w:tc>
          <w:tcPr>
            <w:tcW w:type="dxa" w:w="5800"/>
            <w:tcMar>
              <w:top w:type="dxa" w:w="60"/>
              <w:left w:type="dxa" w:w="90"/>
              <w:bottom w:type="dxa" w:w="60"/>
              <w:right w:type="dxa" w:w="90"/>
            </w:tcMar>
          </w:tcPr>
          <w:p>
            <w:r>
              <w:rPr>
                <w:sz w:val="18"/>
                <w:szCs w:val="18"/>
              </w:rPr>
              <w:t xml:space="preserve">Une enseigne n'a pas produit de fichier. Vérifiez l'historique du scénario</w:t>
            </w:r>
          </w:p>
        </w:tc>
      </w:tr>
      <w:tr>
        <w:tc>
          <w:tcPr>
            <w:tcW w:type="dxa" w:w="3000"/>
            <w:tcMar>
              <w:top w:type="dxa" w:w="60"/>
              <w:left w:type="dxa" w:w="90"/>
              <w:bottom w:type="dxa" w:w="60"/>
              <w:right w:type="dxa" w:w="90"/>
            </w:tcMar>
          </w:tcPr>
          <w:p>
            <w:r>
              <w:rPr>
                <w:sz w:val="18"/>
                <w:szCs w:val="18"/>
              </w:rPr>
              <w:t xml:space="preserve">Une offre n'a pas de pastille verte</w:t>
            </w:r>
          </w:p>
        </w:tc>
        <w:tc>
          <w:tcPr>
            <w:tcW w:type="dxa" w:w="5800"/>
            <w:tcMar>
              <w:top w:type="dxa" w:w="60"/>
              <w:left w:type="dxa" w:w="90"/>
              <w:bottom w:type="dxa" w:w="60"/>
              <w:right w:type="dxa" w:w="90"/>
            </w:tcMar>
          </w:tcPr>
          <w:p>
            <w:r>
              <w:rPr>
                <w:sz w:val="18"/>
                <w:szCs w:val="18"/>
              </w:rPr>
              <w:t xml:space="preserve">Elle ne correspond à aucune de vos lignes. Ajoutez le terme manquant dans les mots-clés de la ligne concernée</w:t>
            </w:r>
          </w:p>
        </w:tc>
      </w:tr>
      <w:tr>
        <w:tc>
          <w:tcPr>
            <w:tcW w:type="dxa" w:w="3000"/>
            <w:tcMar>
              <w:top w:type="dxa" w:w="60"/>
              <w:left w:type="dxa" w:w="90"/>
              <w:bottom w:type="dxa" w:w="60"/>
              <w:right w:type="dxa" w:w="90"/>
            </w:tcMar>
          </w:tcPr>
          <w:p>
            <w:r>
              <w:rPr>
                <w:sz w:val="18"/>
                <w:szCs w:val="18"/>
              </w:rPr>
              <w:t xml:space="preserve">Un prix paraît faux</w:t>
            </w:r>
          </w:p>
        </w:tc>
        <w:tc>
          <w:tcPr>
            <w:tcW w:type="dxa" w:w="5800"/>
            <w:tcMar>
              <w:top w:type="dxa" w:w="60"/>
              <w:left w:type="dxa" w:w="90"/>
              <w:bottom w:type="dxa" w:w="60"/>
              <w:right w:type="dxa" w:w="90"/>
            </w:tcMar>
          </w:tcPr>
          <w:p>
            <w:r>
              <w:rPr>
                <w:sz w:val="18"/>
                <w:szCs w:val="18"/>
              </w:rPr>
              <w:t xml:space="preserve">Signalez-le : les prix sont lus sur l'image, une erreur de lecture reste possible sur une mise en page inhabituelle</w:t>
            </w:r>
          </w:p>
        </w:tc>
      </w:tr>
      <w:tr>
        <w:tc>
          <w:tcPr>
            <w:tcW w:type="dxa" w:w="3000"/>
            <w:tcMar>
              <w:top w:type="dxa" w:w="60"/>
              <w:left w:type="dxa" w:w="90"/>
              <w:bottom w:type="dxa" w:w="60"/>
              <w:right w:type="dxa" w:w="90"/>
            </w:tcMar>
          </w:tcPr>
          <w:p>
            <w:r>
              <w:rPr>
                <w:sz w:val="18"/>
                <w:szCs w:val="18"/>
              </w:rPr>
              <w:t xml:space="preserve">Le numéro de version affiché n'est pas le bon</w:t>
            </w:r>
          </w:p>
        </w:tc>
        <w:tc>
          <w:tcPr>
            <w:tcW w:type="dxa" w:w="5800"/>
            <w:tcMar>
              <w:top w:type="dxa" w:w="60"/>
              <w:left w:type="dxa" w:w="90"/>
              <w:bottom w:type="dxa" w:w="60"/>
              <w:right w:type="dxa" w:w="90"/>
            </w:tcMar>
          </w:tcPr>
          <w:p>
            <w:r>
              <w:rPr>
                <w:sz w:val="18"/>
                <w:szCs w:val="18"/>
              </w:rPr>
              <w:t xml:space="preserve">Fermez complètement l'application et rouvrez-la</w:t>
            </w:r>
          </w:p>
        </w:tc>
      </w:tr>
    </w:tbl>
    <w:p>
      <w:pPr>
        <w:pStyle w:val="Heading1"/>
        <w:spacing w:after="150" w:before="360"/>
      </w:pPr>
      <w:r>
        <w:rPr>
          <w:b/>
          <w:bCs/>
          <w:color w:val="2F4358"/>
          <w:sz w:val="30"/>
          <w:szCs w:val="30"/>
        </w:rPr>
        <w:t xml:space="preserve">7. Ce que l'application ne fait pas</w:t>
      </w:r>
    </w:p>
    <w:p>
      <w:pPr>
        <w:pStyle w:val="ListParagraph"/>
        <w:numPr>
          <w:ilvl w:val="0"/>
          <w:numId w:val="5"/>
        </w:numPr>
        <w:spacing w:after="60"/>
      </w:pPr>
      <w:r>
        <w:rPr>
          <w:b/>
          <w:bCs/>
          <w:sz w:val="21"/>
          <w:szCs w:val="21"/>
        </w:rPr>
        <w:t xml:space="preserve">Elle ne relève que les promotions publiées dans les folders, pas les prix courants des fiches produits.</w:t>
      </w:r>
    </w:p>
    <w:p>
      <w:pPr>
        <w:pStyle w:val="ListParagraph"/>
        <w:numPr>
          <w:ilvl w:val="0"/>
          <w:numId w:val="5"/>
        </w:numPr>
        <w:spacing w:after="60"/>
      </w:pPr>
      <w:r>
        <w:rPr>
          <w:b/>
          <w:bCs/>
          <w:sz w:val="21"/>
          <w:szCs w:val="21"/>
        </w:rPr>
        <w:t xml:space="preserve">Elle ne couvre que les enseignes configurées dans le scénario. Les autres restent en relevé manuel.</w:t>
      </w:r>
    </w:p>
    <w:p>
      <w:pPr>
        <w:pStyle w:val="ListParagraph"/>
        <w:numPr>
          <w:ilvl w:val="0"/>
          <w:numId w:val="5"/>
        </w:numPr>
        <w:spacing w:after="60"/>
      </w:pPr>
      <w:r>
        <w:rPr>
          <w:b/>
          <w:bCs/>
          <w:sz w:val="21"/>
          <w:szCs w:val="21"/>
        </w:rPr>
        <w:t xml:space="preserve">Elle ne commande rien et ne réserve rien.</w:t>
      </w:r>
    </w:p>
    <w:p>
      <w:pPr>
        <w:pStyle w:val="ListParagraph"/>
        <w:numPr>
          <w:ilvl w:val="0"/>
          <w:numId w:val="5"/>
        </w:numPr>
        <w:spacing w:after="60"/>
      </w:pPr>
      <w:r>
        <w:rPr>
          <w:b/>
          <w:bCs/>
          <w:sz w:val="21"/>
          <w:szCs w:val="21"/>
        </w:rPr>
        <w:t xml:space="preserve">Elle ne dit pas si un produit correspond à vos critères techniques : cartouche 35 mm, niveau sonore, classe de peinture. Cela reste à vérifier en magasin, sur la base du cahier des charges.</w:t>
      </w:r>
    </w:p>
    <w:p>
      <w:pPr>
        <w:pBdr>
          <w:top w:val="single" w:color="CCCCCC" w:sz="6"/>
        </w:pBdr>
        <w:spacing w:before="300"/>
      </w:pPr>
      <w:r>
        <w:rPr>
          <w:i/>
          <w:iCs/>
          <w:color w:val="666666"/>
          <w:sz w:val="17"/>
          <w:szCs w:val="17"/>
        </w:rPr>
        <w:t xml:space="preserve">Mode d'emploi de la version 3.0, établi le 13 septembre 2026. Quatre enseignes sont collectées automatiquement : Brico, ELDI, Hubo et Mr. Bricolage. Les prix affichés sont ceux lus dans les folders à la date de la collecte et doivent être confirmés en magasin avant toute commande importante.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abstractNum w:abstractNumId="4" w15:restartNumberingAfterBreak="0">
    <w:multiLevelType w:val="hybridMultilevel"/>
    <w:lvl w:ilvl="0" w15:tentative="1">
      <w:start w:val="1"/>
      <w:numFmt w:val="decimal"/>
      <w:lvlText w:val="%1."/>
      <w:lvlJc w:val="left"/>
      <w:pPr>
        <w:ind w:left="400" w:hanging="200"/>
      </w:pPr>
    </w:lvl>
  </w:abstractNum>
  <w:abstractNum w:abstractNumId="5"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2026-09-13T10:01:57.758Z</dcterms:created>
  <dcterms:modified xsi:type="dcterms:W3CDTF">2026-09-13T10:01:57.759Z</dcterms:modified>
</cp:coreProperties>
</file>

<file path=docProps/custom.xml><?xml version="1.0" encoding="utf-8"?>
<Properties xmlns="http://schemas.openxmlformats.org/officeDocument/2006/custom-properties" xmlns:vt="http://schemas.openxmlformats.org/officeDocument/2006/docPropsVTypes"/>
</file>