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B3014" w:rsidRDefault="00DB3014">
      <w:pPr>
        <w:pBdr>
          <w:top w:val="nil"/>
          <w:left w:val="nil"/>
          <w:bottom w:val="nil"/>
          <w:right w:val="nil"/>
          <w:between w:val="nil"/>
        </w:pBdr>
        <w:spacing w:line="275" w:lineRule="auto"/>
        <w:rPr>
          <w:color w:val="000000"/>
        </w:rPr>
      </w:pPr>
    </w:p>
    <w:p w:rsidR="00DB3014" w:rsidRDefault="00000000">
      <w:pPr>
        <w:pStyle w:val="Ttulo1"/>
        <w:spacing w:before="0" w:line="275" w:lineRule="auto"/>
        <w:rPr>
          <w:rFonts w:ascii="Google Sans" w:eastAsia="Google Sans" w:hAnsi="Google Sans" w:cs="Google Sans"/>
        </w:rPr>
      </w:pPr>
      <w:r>
        <w:rPr>
          <w:rFonts w:ascii="Google Sans" w:eastAsia="Google Sans" w:hAnsi="Google Sans" w:cs="Google Sans"/>
        </w:rPr>
        <w:t>Refrigeración Magnética: Fundamentos Termodinámicos, Avances en Materiales y Hoja de Ruta hacia la Comercialización</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pPr>
        <w:pStyle w:val="Ttulo2"/>
        <w:spacing w:before="0" w:line="275" w:lineRule="auto"/>
        <w:rPr>
          <w:rFonts w:ascii="Google Sans" w:eastAsia="Google Sans" w:hAnsi="Google Sans" w:cs="Google Sans"/>
        </w:rPr>
      </w:pPr>
      <w:r>
        <w:rPr>
          <w:rFonts w:ascii="Google Sans" w:eastAsia="Google Sans" w:hAnsi="Google Sans" w:cs="Google Sans"/>
        </w:rPr>
        <w:t>1. Introducción a la Refrigeración de Estado Sólido</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1.1. El Paradigma de la Refrigeración por Compresión de Vapor y sus Limitaciones</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Durante más de un siglo, la tecnología de refrigeración por compresión de vapor ha sido el pilar fundamental de la industria del frío, desde aplicaciones domésticas hasta sistemas industriales a gran escala. Su principio de funcionamiento, basado en el ciclo termodinámico de un fluido refrigerante que experimenta cambios de fase entre líquido y gas, ha sido objeto de una optimización continua, alcanzando niveles de eficiencia muy elevados.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Sin embargo, este paradigma tecnológico se enfrenta a limitaciones intrínsecas y a una creciente presión regulatoria y medioambiental que impulsan la búsqueda de alternativas disruptivas.</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principal inconveniente de la refrigeración por compresión de vapor reside en la naturaleza de sus fluidos de trabajo. Históricamente, se han utilizado clorofluorocarbonos (</w:t>
      </w:r>
      <w:proofErr w:type="spellStart"/>
      <w:r>
        <w:rPr>
          <w:rFonts w:ascii="Google Sans Text" w:eastAsia="Google Sans Text" w:hAnsi="Google Sans Text" w:cs="Google Sans Text"/>
        </w:rPr>
        <w:t>CFCs</w:t>
      </w:r>
      <w:proofErr w:type="spellEnd"/>
      <w:r>
        <w:rPr>
          <w:rFonts w:ascii="Google Sans Text" w:eastAsia="Google Sans Text" w:hAnsi="Google Sans Text" w:cs="Google Sans Text"/>
        </w:rPr>
        <w:t>) e hidroclorofluorocarbonos (</w:t>
      </w:r>
      <w:proofErr w:type="spellStart"/>
      <w:r>
        <w:rPr>
          <w:rFonts w:ascii="Google Sans Text" w:eastAsia="Google Sans Text" w:hAnsi="Google Sans Text" w:cs="Google Sans Text"/>
        </w:rPr>
        <w:t>HCFCs</w:t>
      </w:r>
      <w:proofErr w:type="spellEnd"/>
      <w:r>
        <w:rPr>
          <w:rFonts w:ascii="Google Sans Text" w:eastAsia="Google Sans Text" w:hAnsi="Google Sans Text" w:cs="Google Sans Text"/>
        </w:rPr>
        <w:t>), y más recientemente hidrofluorocarbonos (</w:t>
      </w:r>
      <w:proofErr w:type="spellStart"/>
      <w:r>
        <w:rPr>
          <w:rFonts w:ascii="Google Sans Text" w:eastAsia="Google Sans Text" w:hAnsi="Google Sans Text" w:cs="Google Sans Text"/>
        </w:rPr>
        <w:t>HFCs</w:t>
      </w:r>
      <w:proofErr w:type="spellEnd"/>
      <w:r>
        <w:rPr>
          <w:rFonts w:ascii="Google Sans Text" w:eastAsia="Google Sans Text" w:hAnsi="Google Sans Text" w:cs="Google Sans Text"/>
        </w:rPr>
        <w:t xml:space="preserve">). Estas sustancias, si bien son eficaces como refrigerantes, tienen un impacto ambiental devastador. Los </w:t>
      </w:r>
      <w:proofErr w:type="spellStart"/>
      <w:r>
        <w:rPr>
          <w:rFonts w:ascii="Google Sans Text" w:eastAsia="Google Sans Text" w:hAnsi="Google Sans Text" w:cs="Google Sans Text"/>
        </w:rPr>
        <w:t>CFCs</w:t>
      </w:r>
      <w:proofErr w:type="spellEnd"/>
      <w:r>
        <w:rPr>
          <w:rFonts w:ascii="Google Sans Text" w:eastAsia="Google Sans Text" w:hAnsi="Google Sans Text" w:cs="Google Sans Text"/>
        </w:rPr>
        <w:t xml:space="preserve"> y </w:t>
      </w:r>
      <w:proofErr w:type="spellStart"/>
      <w:r>
        <w:rPr>
          <w:rFonts w:ascii="Google Sans Text" w:eastAsia="Google Sans Text" w:hAnsi="Google Sans Text" w:cs="Google Sans Text"/>
        </w:rPr>
        <w:t>HCFCs</w:t>
      </w:r>
      <w:proofErr w:type="spellEnd"/>
      <w:r>
        <w:rPr>
          <w:rFonts w:ascii="Google Sans Text" w:eastAsia="Google Sans Text" w:hAnsi="Google Sans Text" w:cs="Google Sans Text"/>
        </w:rPr>
        <w:t xml:space="preserve"> son potentes agentes de agotamiento de la capa de ozono, mientras que los </w:t>
      </w:r>
      <w:proofErr w:type="spellStart"/>
      <w:r>
        <w:rPr>
          <w:rFonts w:ascii="Google Sans Text" w:eastAsia="Google Sans Text" w:hAnsi="Google Sans Text" w:cs="Google Sans Text"/>
        </w:rPr>
        <w:t>HFCs</w:t>
      </w:r>
      <w:proofErr w:type="spellEnd"/>
      <w:r>
        <w:rPr>
          <w:rFonts w:ascii="Google Sans Text" w:eastAsia="Google Sans Text" w:hAnsi="Google Sans Text" w:cs="Google Sans Text"/>
        </w:rPr>
        <w:t>, aunque no afectan a la capa de ozono, poseen un Potencial de Calentamiento Global (GWP, por sus siglas en inglés) miles de veces superior al del dióxido de carbono.</w:t>
      </w:r>
      <w:r>
        <w:rPr>
          <w:rFonts w:ascii="Google Sans Text" w:eastAsia="Google Sans Text" w:hAnsi="Google Sans Text" w:cs="Google Sans Text"/>
          <w:sz w:val="24"/>
          <w:szCs w:val="24"/>
          <w:vertAlign w:val="superscript"/>
        </w:rPr>
        <w:t>3</w:t>
      </w:r>
      <w:r>
        <w:rPr>
          <w:rFonts w:ascii="Google Sans Text" w:eastAsia="Google Sans Text" w:hAnsi="Google Sans Text" w:cs="Google Sans Text"/>
        </w:rPr>
        <w:t xml:space="preserve"> La fuga de estos gases a la atmósfera, inevitable en el ciclo de vida de los equipos, contribuye significativamente al cambio climático.</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En respuesta a esta amenaza, se han establecido marcos regulatorios internacionales y nacionales cada vez más estrictos. Acuerdos como el Protocolo de Montreal y la Enmienda de Kigali, junto con normativas como la Regulación F-Gas de la Unión Europea, imponen una eliminación progresiva de los refrigerantes de alto GWP, forzando a la industria a buscar alternativas más sostenibles.</w:t>
      </w:r>
      <w:r>
        <w:rPr>
          <w:rFonts w:ascii="Google Sans Text" w:eastAsia="Google Sans Text" w:hAnsi="Google Sans Text" w:cs="Google Sans Text"/>
          <w:sz w:val="24"/>
          <w:szCs w:val="24"/>
          <w:vertAlign w:val="superscript"/>
        </w:rPr>
        <w:t>3</w:t>
      </w:r>
      <w:r>
        <w:rPr>
          <w:rFonts w:ascii="Google Sans Text" w:eastAsia="Google Sans Text" w:hAnsi="Google Sans Text" w:cs="Google Sans Text"/>
        </w:rPr>
        <w:t xml:space="preserve"> Si bien se están desarrollando refrigerantes de bajo GWP, como las </w:t>
      </w:r>
      <w:proofErr w:type="spellStart"/>
      <w:r>
        <w:rPr>
          <w:rFonts w:ascii="Google Sans Text" w:eastAsia="Google Sans Text" w:hAnsi="Google Sans Text" w:cs="Google Sans Text"/>
        </w:rPr>
        <w:t>hidrofluoroolefinas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HFOs</w:t>
      </w:r>
      <w:proofErr w:type="spellEnd"/>
      <w:r>
        <w:rPr>
          <w:rFonts w:ascii="Google Sans Text" w:eastAsia="Google Sans Text" w:hAnsi="Google Sans Text" w:cs="Google Sans Text"/>
        </w:rPr>
        <w:t xml:space="preserve">) o refrigerantes naturales como el amoníaco y el CO2, estos a </w:t>
      </w:r>
      <w:r>
        <w:rPr>
          <w:rFonts w:ascii="Google Sans Text" w:eastAsia="Google Sans Text" w:hAnsi="Google Sans Text" w:cs="Google Sans Text"/>
        </w:rPr>
        <w:lastRenderedPageBreak/>
        <w:t>menudo presentan sus propios desafíos en términos de inflamabilidad, toxicidad o presiones de trabajo elevadas.</w:t>
      </w:r>
      <w:r>
        <w:rPr>
          <w:rFonts w:ascii="Google Sans Text" w:eastAsia="Google Sans Text" w:hAnsi="Google Sans Text" w:cs="Google Sans Text"/>
          <w:sz w:val="24"/>
          <w:szCs w:val="24"/>
          <w:vertAlign w:val="superscript"/>
        </w:rPr>
        <w:t>5</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Además de la problemática medioambiental, los sistemas de compresión de vapor presentan desventajas operativas inherentes. El componente central, el compresor mecánico, es una fuente significativa de ruido y vibraciones, lo que puede ser indeseable en entornos domésticos o sensibles como los hospitales. Al ser una pieza móvil sometida a un trabajo intensivo, el compresor también es el principal punto de fallo, lo que implica costes de mantenimiento y una vida útil limitada del equipo.</w:t>
      </w:r>
      <w:r>
        <w:rPr>
          <w:rFonts w:ascii="Google Sans Text" w:eastAsia="Google Sans Text" w:hAnsi="Google Sans Text" w:cs="Google Sans Text"/>
          <w:sz w:val="24"/>
          <w:szCs w:val="24"/>
          <w:vertAlign w:val="superscript"/>
        </w:rPr>
        <w:t>7</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1.2. La Refrigeración Magnética como Alternativa Disruptiva</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En este contexto, la refrigeración magnética emerge como una tecnología de estado sólido que representa un cambio de paradigma fundamental. En lugar de depender de la compresión y expansión de un gas, esta tecnología aprovecha una propiedad intrínseca de ciertos materiales sólidos: el </w:t>
      </w:r>
      <w:r>
        <w:rPr>
          <w:rFonts w:ascii="Google Sans Text" w:eastAsia="Google Sans Text" w:hAnsi="Google Sans Text" w:cs="Google Sans Text"/>
          <w:b/>
        </w:rPr>
        <w:t>efecto magnetocalórico (MCE)</w:t>
      </w:r>
      <w:r>
        <w:rPr>
          <w:rFonts w:ascii="Google Sans Text" w:eastAsia="Google Sans Text" w:hAnsi="Google Sans Text" w:cs="Google Sans Text"/>
        </w:rPr>
        <w:t>.</w:t>
      </w:r>
      <w:r>
        <w:rPr>
          <w:rFonts w:ascii="Google Sans Text" w:eastAsia="Google Sans Text" w:hAnsi="Google Sans Text" w:cs="Google Sans Text"/>
          <w:sz w:val="24"/>
          <w:szCs w:val="24"/>
          <w:vertAlign w:val="superscript"/>
        </w:rPr>
        <w:t>4</w:t>
      </w:r>
      <w:r>
        <w:rPr>
          <w:rFonts w:ascii="Google Sans Text" w:eastAsia="Google Sans Text" w:hAnsi="Google Sans Text" w:cs="Google Sans Text"/>
        </w:rPr>
        <w:t xml:space="preserve"> Este efecto describe el cambio de temperatura reversible que experimenta un material magnético cuando se le somete a un campo magnético variable.</w:t>
      </w:r>
      <w:r>
        <w:rPr>
          <w:rFonts w:ascii="Google Sans Text" w:eastAsia="Google Sans Text" w:hAnsi="Google Sans Text" w:cs="Google Sans Text"/>
          <w:sz w:val="24"/>
          <w:szCs w:val="24"/>
          <w:vertAlign w:val="superscript"/>
        </w:rPr>
        <w:t>11</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principal ventaja de la refrigeración magnética es su carácter intrínsecamente sostenible. Al utilizar un refrigerante sólido, elimina por completo la necesidad de gases fluorados, lo que se traduce en un GWP y un Potencial de Agotamiento del Ozono (ODP) directos nulos.</w:t>
      </w:r>
      <w:r>
        <w:rPr>
          <w:rFonts w:ascii="Google Sans Text" w:eastAsia="Google Sans Text" w:hAnsi="Google Sans Text" w:cs="Google Sans Text"/>
          <w:sz w:val="24"/>
          <w:szCs w:val="24"/>
          <w:vertAlign w:val="superscript"/>
        </w:rPr>
        <w:t>8</w:t>
      </w:r>
      <w:r>
        <w:rPr>
          <w:rFonts w:ascii="Google Sans Text" w:eastAsia="Google Sans Text" w:hAnsi="Google Sans Text" w:cs="Google Sans Text"/>
        </w:rPr>
        <w:t xml:space="preserve"> Además, al prescindir del compresor mecánico, los sistemas de refrigeración magnética son notablemente más silenciosos, presentan menos vibraciones y tienen un potencial de fiabilidad y vida útil superior debido a la reducción de piezas móviles sujetas a desgaste.</w:t>
      </w:r>
      <w:r>
        <w:rPr>
          <w:rFonts w:ascii="Google Sans Text" w:eastAsia="Google Sans Text" w:hAnsi="Google Sans Text" w:cs="Google Sans Text"/>
          <w:sz w:val="24"/>
          <w:szCs w:val="24"/>
          <w:vertAlign w:val="superscript"/>
        </w:rPr>
        <w:t>7</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Desde el punto de vista de la eficiencia, la refrigeración magnética ofrece un potencial significativo. Los modelos teóricos y los prototipos experimentales sugieren que esta tecnología puede ser entre un 20% y un 30% más eficiente energéticamente que los sistemas de compresión de vapor más avanzados, que ya operan cerca de sus límites termodinámicos.</w:t>
      </w:r>
      <w:r>
        <w:rPr>
          <w:rFonts w:ascii="Google Sans Text" w:eastAsia="Google Sans Text" w:hAnsi="Google Sans Text" w:cs="Google Sans Text"/>
          <w:sz w:val="24"/>
          <w:szCs w:val="24"/>
          <w:vertAlign w:val="superscript"/>
        </w:rPr>
        <w:t>3</w:t>
      </w:r>
      <w:r>
        <w:rPr>
          <w:rFonts w:ascii="Google Sans Text" w:eastAsia="Google Sans Text" w:hAnsi="Google Sans Text" w:cs="Google Sans Text"/>
        </w:rPr>
        <w:t xml:space="preserve"> Esta mejora en la eficiencia no solo reduciría los costes operativos, sino que también disminuiría el consumo global de energía, con los consiguientes beneficios medioambientales indirectos.</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Aunque el MCE fue descubierto por el físico alemán Emil </w:t>
      </w:r>
      <w:proofErr w:type="spellStart"/>
      <w:r>
        <w:rPr>
          <w:rFonts w:ascii="Google Sans Text" w:eastAsia="Google Sans Text" w:hAnsi="Google Sans Text" w:cs="Google Sans Text"/>
        </w:rPr>
        <w:t>Warburg</w:t>
      </w:r>
      <w:proofErr w:type="spellEnd"/>
      <w:r>
        <w:rPr>
          <w:rFonts w:ascii="Google Sans Text" w:eastAsia="Google Sans Text" w:hAnsi="Google Sans Text" w:cs="Google Sans Text"/>
        </w:rPr>
        <w:t xml:space="preserve"> en 1881, la tecnología ha permanecido en gran medida en el ámbito del laboratorio, principalmente para aplicaciones criogénicas. No ha sido hasta las últimas dos décadas que la refrigeración magnética a temperatura ambiente ha ganado viabilidad comercial. Este resurgimiento se debe a dos avances cruciales: el descubrimiento de materiales con un "efecto magnetocalórico gigante" y el desarrollo de imanes permanentes de alto campo más asequibles y potentes.</w:t>
      </w:r>
      <w:r>
        <w:rPr>
          <w:rFonts w:ascii="Google Sans Text" w:eastAsia="Google Sans Text" w:hAnsi="Google Sans Text" w:cs="Google Sans Text"/>
          <w:sz w:val="24"/>
          <w:szCs w:val="24"/>
          <w:vertAlign w:val="superscript"/>
        </w:rPr>
        <w:t>1</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transición de una tecnología basada en la termodinámica de fluidos a una basada en la física del estado sólido no es una simple mejora incremental, sino una redefinición de los fundamentos de la refrigeración. Este cambio desplaza el foco de los desafíos de ingeniería </w:t>
      </w:r>
      <w:r>
        <w:rPr>
          <w:rFonts w:ascii="Google Sans Text" w:eastAsia="Google Sans Text" w:hAnsi="Google Sans Text" w:cs="Google Sans Text"/>
        </w:rPr>
        <w:lastRenderedPageBreak/>
        <w:t>desde la mecánica de fluidos y la contención de gases a alta presión hacia la ciencia de materiales avanzada y la ingeniería electromagnética. El éxito y la adopción generalizada de la refrigeración magnética dependerán, por tanto, de la capacidad para diseñar, sintetizar y fabricar a gran escala materiales magnetocalóricos con propiedades optimizadas y de integrar estos materiales en sistemas de refrigeración eficientes y económicamente competitivos.</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2"/>
        <w:spacing w:before="0" w:line="275" w:lineRule="auto"/>
        <w:rPr>
          <w:rFonts w:ascii="Google Sans" w:eastAsia="Google Sans" w:hAnsi="Google Sans" w:cs="Google Sans"/>
        </w:rPr>
      </w:pPr>
      <w:r>
        <w:rPr>
          <w:rFonts w:ascii="Google Sans" w:eastAsia="Google Sans" w:hAnsi="Google Sans" w:cs="Google Sans"/>
        </w:rPr>
        <w:t>2. Principios Físicos del Efecto Magnetocalórico (MCE)</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2.1. Termodinámica de los Materiales Magnéticos</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efecto magnetocalórico es un fenómeno intrínseco de los materiales magnéticos, especialmente pronunciado en materiales paramagnéticos y ferromagnéticos cerca de su temperatura de transición magnética (temperatura de Curie).</w:t>
      </w:r>
      <w:r>
        <w:rPr>
          <w:rFonts w:ascii="Google Sans Text" w:eastAsia="Google Sans Text" w:hAnsi="Google Sans Text" w:cs="Google Sans Text"/>
          <w:sz w:val="24"/>
          <w:szCs w:val="24"/>
          <w:vertAlign w:val="superscript"/>
        </w:rPr>
        <w:t>4</w:t>
      </w:r>
      <w:r>
        <w:rPr>
          <w:rFonts w:ascii="Google Sans Text" w:eastAsia="Google Sans Text" w:hAnsi="Google Sans Text" w:cs="Google Sans Text"/>
        </w:rPr>
        <w:t xml:space="preserve"> Su origen reside en el acoplamiento entre los grados de libertad magnéticos (espines de los electrones) y los grados de libertad de la red cristalina (vibraciones o fonones) de un material.</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entropía total de un sólido magnético, S, puede considerarse como la suma de la entropía magnética (Sm​), la entropía de la red (Slat​) y la entropía electrónica (Sel​). En el MCE, el campo magnético externo actúa directamente sobre la entropía magnética. En ausencia de un campo magnético y por encima de la temperatura de Curie, los momentos magnéticos de los átomos (espines) están orientados al azar, lo que corresponde a un estado de alta entropía magnética. Cuando se aplica un campo magnético externo (H), este ejerce un par de torsión sobre los momentos magnéticos, tendiendo a alinearlos con la dirección del campo. Este proceso aumenta el orden magnético del sistema, lo que se traduce en una disminución de la entropía magnética (Sm​).</w:t>
      </w:r>
      <w:r>
        <w:rPr>
          <w:rFonts w:ascii="Google Sans Text" w:eastAsia="Google Sans Text" w:hAnsi="Google Sans Text" w:cs="Google Sans Text"/>
          <w:sz w:val="24"/>
          <w:szCs w:val="24"/>
          <w:vertAlign w:val="superscript"/>
        </w:rPr>
        <w:t>11</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Según la segunda ley de la termodinámica, en un proceso adiabático (es decir, sin intercambio de calor con el entorno), la entropía total del sistema debe permanecer constante. Por lo tanto, la disminución de la entropía magnética debe ser compensada por un aumento en las otras contribuciones a la entropía, principalmente la de la red. Un aumento de la entropía de la red se manifiesta como un incremento de las vibraciones atómicas, lo que macroscópicamente se percibe como un calentamiento del material.</w:t>
      </w:r>
      <w:r>
        <w:rPr>
          <w:rFonts w:ascii="Google Sans Text" w:eastAsia="Google Sans Text" w:hAnsi="Google Sans Text" w:cs="Google Sans Text"/>
          <w:sz w:val="24"/>
          <w:szCs w:val="24"/>
          <w:vertAlign w:val="superscript"/>
        </w:rPr>
        <w:t>11</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proceso inverso ocurre al retirar el campo magnético. La agitación térmica del material hace que los momentos magnéticos vuelvan a un estado desordenado, aumentando la entropía magnética. De nuevo, para mantener la entropía total constante en un proceso adiabático, este aumento en Sm​ se compensa con una disminución de la entropía de la red, lo que provoca el enfriamiento del material por debajo de su temperatura inicial.</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xml:space="preserve"> Este calentamiento y enfriamiento reversible al aplicar y retirar un campo magnético es la esencia del efecto magnetocalórico.</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2.2. El Ciclo de Refrigeración Magnético Básico (Análogo al Ciclo de Carnot)</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MCE puede ser explotado en un ciclo termodinámico para bombear calor, de forma análoga al ciclo de Carnot de la refrigeración por compresión de vapor. En lugar de compresión y expansión de un gas, el ciclo magnético utiliza la magnetización y desmagnetización de un material sólido.</w:t>
      </w:r>
      <w:r>
        <w:rPr>
          <w:rFonts w:ascii="Google Sans Text" w:eastAsia="Google Sans Text" w:hAnsi="Google Sans Text" w:cs="Google Sans Text"/>
          <w:sz w:val="24"/>
          <w:szCs w:val="24"/>
          <w:vertAlign w:val="superscript"/>
        </w:rPr>
        <w:t>11</w:t>
      </w:r>
      <w:r>
        <w:rPr>
          <w:rFonts w:ascii="Google Sans Text" w:eastAsia="Google Sans Text" w:hAnsi="Google Sans Text" w:cs="Google Sans Text"/>
        </w:rPr>
        <w:t xml:space="preserve"> El ciclo básico consta de cuatro pasos:</w:t>
      </w:r>
    </w:p>
    <w:p w:rsidR="00DB3014" w:rsidRDefault="00000000" w:rsidP="002E1313">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Magnetización Adiabática:</w:t>
      </w:r>
      <w:r>
        <w:rPr>
          <w:rFonts w:ascii="Google Sans Text" w:eastAsia="Google Sans Text" w:hAnsi="Google Sans Text" w:cs="Google Sans Text"/>
        </w:rPr>
        <w:t xml:space="preserve"> El material magnetocalórico (MCM), inicialmente a una temperatura </w:t>
      </w:r>
      <w:proofErr w:type="spellStart"/>
      <w:r>
        <w:rPr>
          <w:rFonts w:ascii="Google Sans Text" w:eastAsia="Google Sans Text" w:hAnsi="Google Sans Text" w:cs="Google Sans Text"/>
        </w:rPr>
        <w:t>Tfrıˊa</w:t>
      </w:r>
      <w:proofErr w:type="spellEnd"/>
      <w:r>
        <w:rPr>
          <w:rFonts w:ascii="Google Sans Text" w:eastAsia="Google Sans Text" w:hAnsi="Google Sans Text" w:cs="Google Sans Text"/>
        </w:rPr>
        <w:t xml:space="preserve">​ y térmicamente aislado, se introduce en un campo magnético. La alineación de los espines reduce la entropía magnética, y para conservar la entropía total, el material se calienta hasta una temperatura </w:t>
      </w:r>
      <w:proofErr w:type="spellStart"/>
      <w:r>
        <w:rPr>
          <w:rFonts w:ascii="Google Sans Text" w:eastAsia="Google Sans Text" w:hAnsi="Google Sans Text" w:cs="Google Sans Text"/>
        </w:rPr>
        <w:t>Tcaliente</w:t>
      </w:r>
      <w:proofErr w:type="spellEnd"/>
      <w:r>
        <w:rPr>
          <w:rFonts w:ascii="Google Sans Text" w:eastAsia="Google Sans Text" w:hAnsi="Google Sans Text" w:cs="Google Sans Text"/>
        </w:rPr>
        <w:t>​.</w:t>
      </w:r>
      <w:r>
        <w:rPr>
          <w:rFonts w:ascii="Google Sans Text" w:eastAsia="Google Sans Text" w:hAnsi="Google Sans Text" w:cs="Google Sans Text"/>
          <w:sz w:val="24"/>
          <w:szCs w:val="24"/>
          <w:vertAlign w:val="superscript"/>
        </w:rPr>
        <w:t>11</w:t>
      </w:r>
    </w:p>
    <w:p w:rsidR="00DB3014" w:rsidRDefault="00000000" w:rsidP="002E1313">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 xml:space="preserve">Transferencia de Calor </w:t>
      </w:r>
      <w:proofErr w:type="spellStart"/>
      <w:r>
        <w:rPr>
          <w:rFonts w:ascii="Google Sans Text" w:eastAsia="Google Sans Text" w:hAnsi="Google Sans Text" w:cs="Google Sans Text"/>
          <w:b/>
        </w:rPr>
        <w:t>Isomagnética</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Manteniendo el campo magnético constante, el material se pone en contacto térmico con un sumidero de calor (por ejemplo, el ambiente). Como el material está a una temperatura superior a la del sumidero (</w:t>
      </w:r>
      <w:proofErr w:type="spellStart"/>
      <w:r>
        <w:rPr>
          <w:rFonts w:ascii="Google Sans Text" w:eastAsia="Google Sans Text" w:hAnsi="Google Sans Text" w:cs="Google Sans Text"/>
        </w:rPr>
        <w:t>Tcaliente</w:t>
      </w:r>
      <w:proofErr w:type="spellEnd"/>
      <w:r>
        <w:rPr>
          <w:rFonts w:ascii="Google Sans Text" w:eastAsia="Google Sans Text" w:hAnsi="Google Sans Text" w:cs="Google Sans Text"/>
        </w:rPr>
        <w:t>​), cede calor (QH​) al entorno, enfriándose hasta la temperatura del sumidero pero manteniendo el orden magnético.</w:t>
      </w:r>
      <w:r>
        <w:rPr>
          <w:rFonts w:ascii="Google Sans Text" w:eastAsia="Google Sans Text" w:hAnsi="Google Sans Text" w:cs="Google Sans Text"/>
          <w:sz w:val="24"/>
          <w:szCs w:val="24"/>
          <w:vertAlign w:val="superscript"/>
        </w:rPr>
        <w:t>15</w:t>
      </w:r>
    </w:p>
    <w:p w:rsidR="00DB3014" w:rsidRDefault="00000000" w:rsidP="002E1313">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Desmagnetización Adiabática:</w:t>
      </w:r>
      <w:r>
        <w:rPr>
          <w:rFonts w:ascii="Google Sans Text" w:eastAsia="Google Sans Text" w:hAnsi="Google Sans Text" w:cs="Google Sans Text"/>
        </w:rPr>
        <w:t xml:space="preserve"> El material se aísla térmicamente de nuevo y se retira del campo magnético. Los espines se desordenan, aumentando la entropía magnética. Para mantener la entropía total constante, el material se enfría hasta una temperatura inferior a la inicial, </w:t>
      </w:r>
      <w:proofErr w:type="spellStart"/>
      <w:r>
        <w:rPr>
          <w:rFonts w:ascii="Google Sans Text" w:eastAsia="Google Sans Text" w:hAnsi="Google Sans Text" w:cs="Google Sans Text"/>
        </w:rPr>
        <w:t>Tfrıˊa</w:t>
      </w:r>
      <w:proofErr w:type="spellEnd"/>
      <w:r>
        <w:rPr>
          <w:rFonts w:ascii="Google Sans Text" w:eastAsia="Google Sans Text" w:hAnsi="Google Sans Text" w:cs="Google Sans Text"/>
        </w:rPr>
        <w:t>​.</w:t>
      </w:r>
      <w:r>
        <w:rPr>
          <w:rFonts w:ascii="Google Sans Text" w:eastAsia="Google Sans Text" w:hAnsi="Google Sans Text" w:cs="Google Sans Text"/>
          <w:sz w:val="24"/>
          <w:szCs w:val="24"/>
          <w:vertAlign w:val="superscript"/>
        </w:rPr>
        <w:t>11</w:t>
      </w:r>
    </w:p>
    <w:p w:rsidR="00DB3014" w:rsidRDefault="00000000" w:rsidP="002E1313">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 xml:space="preserve">Transferencia de Calor </w:t>
      </w:r>
      <w:proofErr w:type="spellStart"/>
      <w:r>
        <w:rPr>
          <w:rFonts w:ascii="Google Sans Text" w:eastAsia="Google Sans Text" w:hAnsi="Google Sans Text" w:cs="Google Sans Text"/>
          <w:b/>
        </w:rPr>
        <w:t>Isomagnética</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Manteniendo el campo magnético bajo o nulo, el material, ahora más frío que el espacio a refrigerar, se pone en contacto térmico con este. Absorbe calor (QC​) del espacio refrigerado, volviendo a su estado de temperatura y entropía inicial, completando así el ciclo.</w:t>
      </w:r>
      <w:r>
        <w:rPr>
          <w:rFonts w:ascii="Google Sans Text" w:eastAsia="Google Sans Text" w:hAnsi="Google Sans Text" w:cs="Google Sans Text"/>
          <w:sz w:val="24"/>
          <w:szCs w:val="24"/>
          <w:vertAlign w:val="superscript"/>
        </w:rPr>
        <w:t>15</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2.3. El Ciclo de Regenerador Magnético Activo (AMR): La Clave para la Viabilidad</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Aunque conceptualmente elegante, el ciclo básico tiene una limitación práctica fundamental: el cambio de temperatura adiabático (</w:t>
      </w: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 de los mejores materiales magnetocalóricos a temperatura ambiente es de solo unos 2-4 K por Tesla de campo magnético aplicado.</w:t>
      </w:r>
      <w:r>
        <w:rPr>
          <w:rFonts w:ascii="Google Sans Text" w:eastAsia="Google Sans Text" w:hAnsi="Google Sans Text" w:cs="Google Sans Text"/>
          <w:sz w:val="24"/>
          <w:szCs w:val="24"/>
          <w:vertAlign w:val="superscript"/>
        </w:rPr>
        <w:t>18</w:t>
      </w:r>
      <w:r>
        <w:rPr>
          <w:rFonts w:ascii="Google Sans Text" w:eastAsia="Google Sans Text" w:hAnsi="Google Sans Text" w:cs="Google Sans Text"/>
        </w:rPr>
        <w:t xml:space="preserve"> Esto es insuficiente para la mayoría de las aplicaciones de refrigeración, que requieren un rango de temperatura (</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proofErr w:type="spellStart"/>
      <w:r>
        <w:rPr>
          <w:rFonts w:ascii="Google Sans Text" w:eastAsia="Google Sans Text" w:hAnsi="Google Sans Text" w:cs="Google Sans Text"/>
        </w:rPr>
        <w:t>ΔTspan</w:t>
      </w:r>
      <w:proofErr w:type="spellEnd"/>
      <w:r>
        <w:rPr>
          <w:rFonts w:ascii="Google Sans Text" w:eastAsia="Google Sans Text" w:hAnsi="Google Sans Text" w:cs="Google Sans Text"/>
        </w:rPr>
        <w:t>​) de 20 K o más. Construir una cascada de múltiples etapas para alcanzar este rango sería complejo e ineficiente debido a las pérdidas de transferencia de calor entre etapas.</w:t>
      </w:r>
      <w:r>
        <w:rPr>
          <w:rFonts w:ascii="Google Sans Text" w:eastAsia="Google Sans Text" w:hAnsi="Google Sans Text" w:cs="Google Sans Text"/>
          <w:sz w:val="24"/>
          <w:szCs w:val="24"/>
          <w:vertAlign w:val="superscript"/>
        </w:rPr>
        <w:t>19</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La solución a este problema es el ciclo de </w:t>
      </w:r>
      <w:r>
        <w:rPr>
          <w:rFonts w:ascii="Google Sans Text" w:eastAsia="Google Sans Text" w:hAnsi="Google Sans Text" w:cs="Google Sans Text"/>
          <w:b/>
        </w:rPr>
        <w:t>Regenerador Magnético Activo (AMR)</w:t>
      </w:r>
      <w:r>
        <w:rPr>
          <w:rFonts w:ascii="Google Sans Text" w:eastAsia="Google Sans Text" w:hAnsi="Google Sans Text" w:cs="Google Sans Text"/>
        </w:rPr>
        <w:t xml:space="preserve">, un concepto </w:t>
      </w:r>
      <w:r>
        <w:rPr>
          <w:rFonts w:ascii="Google Sans Text" w:eastAsia="Google Sans Text" w:hAnsi="Google Sans Text" w:cs="Google Sans Text"/>
        </w:rPr>
        <w:lastRenderedPageBreak/>
        <w:t>que revolucionó la refrigeración magnética y la hizo viable para aplicaciones prácticas.</w:t>
      </w:r>
      <w:r>
        <w:rPr>
          <w:rFonts w:ascii="Google Sans Text" w:eastAsia="Google Sans Text" w:hAnsi="Google Sans Text" w:cs="Google Sans Text"/>
          <w:sz w:val="24"/>
          <w:szCs w:val="24"/>
          <w:vertAlign w:val="superscript"/>
        </w:rPr>
        <w:t>17</w:t>
      </w:r>
      <w:r>
        <w:rPr>
          <w:rFonts w:ascii="Google Sans Text" w:eastAsia="Google Sans Text" w:hAnsi="Google Sans Text" w:cs="Google Sans Text"/>
        </w:rPr>
        <w:t xml:space="preserve"> En un sistema AMR, el material magnetocalórico no es un bloque monolítico, sino que conforma una matriz porosa (por ejemplo, un lecho de esferas o un conjunto de placas paralelas) que actúa simultáneamente como refrigerante y como regenerador de calor.</w:t>
      </w:r>
      <w:r>
        <w:rPr>
          <w:rFonts w:ascii="Google Sans Text" w:eastAsia="Google Sans Text" w:hAnsi="Google Sans Text" w:cs="Google Sans Text"/>
          <w:sz w:val="24"/>
          <w:szCs w:val="24"/>
          <w:vertAlign w:val="superscript"/>
        </w:rPr>
        <w:t>20</w:t>
      </w:r>
      <w:r>
        <w:rPr>
          <w:rFonts w:ascii="Google Sans Text" w:eastAsia="Google Sans Text" w:hAnsi="Google Sans Text" w:cs="Google Sans Text"/>
        </w:rPr>
        <w:t xml:space="preserve"> Un fluido de transferencia de calor (como una mezcla de agua y alcohol) es bombeado de forma oscilante a través de esta matriz, en sincronía con el ciclado del campo magnético.</w:t>
      </w:r>
      <w:r>
        <w:rPr>
          <w:rFonts w:ascii="Google Sans Text" w:eastAsia="Google Sans Text" w:hAnsi="Google Sans Text" w:cs="Google Sans Text"/>
          <w:sz w:val="24"/>
          <w:szCs w:val="24"/>
          <w:vertAlign w:val="superscript"/>
        </w:rPr>
        <w:t>21</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ciclo AMR consta de cuatro procesos, aunque su dinámica es más compleja:</w:t>
      </w:r>
    </w:p>
    <w:p w:rsidR="00DB3014" w:rsidRDefault="00000000" w:rsidP="002E1313">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rPr>
        <w:t>Magnetización:</w:t>
      </w:r>
      <w:r>
        <w:rPr>
          <w:rFonts w:ascii="Google Sans Text" w:eastAsia="Google Sans Text" w:hAnsi="Google Sans Text" w:cs="Google Sans Text"/>
        </w:rPr>
        <w:t xml:space="preserve"> Se aplica el campo magnético al lecho regenerador, lo que calienta el MCM en toda su longitud debido al MCE.</w:t>
      </w:r>
    </w:p>
    <w:p w:rsidR="00DB3014" w:rsidRDefault="00000000" w:rsidP="002E1313">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rPr>
        <w:t>Flujo Caliente (</w:t>
      </w:r>
      <w:proofErr w:type="spellStart"/>
      <w:r>
        <w:rPr>
          <w:rFonts w:ascii="Google Sans Text" w:eastAsia="Google Sans Text" w:hAnsi="Google Sans Text" w:cs="Google Sans Text"/>
          <w:b/>
        </w:rPr>
        <w:t>Cold</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Blow</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 xml:space="preserve"> Hot </w:t>
      </w:r>
      <w:proofErr w:type="spellStart"/>
      <w:r>
        <w:rPr>
          <w:rFonts w:ascii="Google Sans Text" w:eastAsia="Google Sans Text" w:hAnsi="Google Sans Text" w:cs="Google Sans Text"/>
          <w:b/>
        </w:rPr>
        <w:t>Blow</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El fluido de transferencia de calor se bombea desde el extremo frío del regenerador hacia el extremo caliente. A medida que fluye, absorbe el calor liberado por el MCM durante la magnetización, saliendo del extremo caliente a una temperatura superior a la del sumidero de calor. Este calor se cede al ambiente en un intercambiador de calor externo.</w:t>
      </w:r>
      <w:r>
        <w:rPr>
          <w:rFonts w:ascii="Google Sans Text" w:eastAsia="Google Sans Text" w:hAnsi="Google Sans Text" w:cs="Google Sans Text"/>
          <w:sz w:val="24"/>
          <w:szCs w:val="24"/>
          <w:vertAlign w:val="superscript"/>
        </w:rPr>
        <w:t>20</w:t>
      </w:r>
    </w:p>
    <w:p w:rsidR="00DB3014" w:rsidRDefault="00000000" w:rsidP="002E1313">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rPr>
        <w:t>Desmagnetización:</w:t>
      </w:r>
      <w:r>
        <w:rPr>
          <w:rFonts w:ascii="Google Sans Text" w:eastAsia="Google Sans Text" w:hAnsi="Google Sans Text" w:cs="Google Sans Text"/>
        </w:rPr>
        <w:t xml:space="preserve"> Se retira el campo magnético, lo que enfría el MCM en toda su longitud.</w:t>
      </w:r>
    </w:p>
    <w:p w:rsidR="00DB3014" w:rsidRDefault="00000000" w:rsidP="002E1313">
      <w:pPr>
        <w:numPr>
          <w:ilvl w:val="0"/>
          <w:numId w:val="2"/>
        </w:numPr>
        <w:pBdr>
          <w:top w:val="nil"/>
          <w:left w:val="nil"/>
          <w:bottom w:val="nil"/>
          <w:right w:val="nil"/>
          <w:between w:val="nil"/>
        </w:pBdr>
        <w:spacing w:line="275" w:lineRule="auto"/>
        <w:jc w:val="both"/>
      </w:pPr>
      <w:r>
        <w:rPr>
          <w:rFonts w:ascii="Google Sans Text" w:eastAsia="Google Sans Text" w:hAnsi="Google Sans Text" w:cs="Google Sans Text"/>
          <w:b/>
        </w:rPr>
        <w:t xml:space="preserve">Flujo Frío (Hot </w:t>
      </w:r>
      <w:proofErr w:type="spellStart"/>
      <w:r>
        <w:rPr>
          <w:rFonts w:ascii="Google Sans Text" w:eastAsia="Google Sans Text" w:hAnsi="Google Sans Text" w:cs="Google Sans Text"/>
          <w:b/>
        </w:rPr>
        <w:t>Blow</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Cold</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Blow</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El fluido se bombea en la dirección opuesta, desde el extremo caliente hacia el frío. Al pasar por el lecho ahora frío, el fluido cede su calor al MCM, enfriándose progresivamente. Sale por el extremo frío a una temperatura inferior a la del espacio a refrigerar, donde absorbe calor de la carga de refrigeración en un segundo intercambiador de calor.</w:t>
      </w:r>
      <w:r>
        <w:rPr>
          <w:rFonts w:ascii="Google Sans Text" w:eastAsia="Google Sans Text" w:hAnsi="Google Sans Text" w:cs="Google Sans Text"/>
          <w:sz w:val="24"/>
          <w:szCs w:val="24"/>
          <w:vertAlign w:val="superscript"/>
        </w:rPr>
        <w:t>20</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Este proceso cíclico establece y mantiene un gradiente de temperatura estable a lo largo del lecho del regenerador. Cada porción del MCM cicla a través de un pequeño rango de temperatura, pero el efecto acumulativo a lo largo de todo el regenerador permite alcanzar un </w:t>
      </w:r>
      <w:proofErr w:type="spellStart"/>
      <w:r>
        <w:rPr>
          <w:rFonts w:ascii="Google Sans Text" w:eastAsia="Google Sans Text" w:hAnsi="Google Sans Text" w:cs="Google Sans Text"/>
        </w:rPr>
        <w:t>ΔTspan</w:t>
      </w:r>
      <w:proofErr w:type="spellEnd"/>
      <w:r>
        <w:rPr>
          <w:rFonts w:ascii="Google Sans Text" w:eastAsia="Google Sans Text" w:hAnsi="Google Sans Text" w:cs="Google Sans Text"/>
        </w:rPr>
        <w:t xml:space="preserve">​ entre los intercambiadores de calor caliente y frío que es mucho mayor que el </w:t>
      </w: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 intrínseco del material.</w:t>
      </w:r>
      <w:r>
        <w:rPr>
          <w:rFonts w:ascii="Google Sans Text" w:eastAsia="Google Sans Text" w:hAnsi="Google Sans Text" w:cs="Google Sans Text"/>
          <w:sz w:val="24"/>
          <w:szCs w:val="24"/>
          <w:vertAlign w:val="superscript"/>
        </w:rPr>
        <w:t>3</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implementación del ciclo AMR introduce una complejidad significativa. La eficiencia del sistema ya no depende únicamente de la magnitud del MCE del material, sino de una intrincada interacción de múltiples factores. La sincronización precisa entre el perfil temporal del campo magnético y el perfil de flujo del fluido es crucial; desajustes en esta sincronización pueden degradar drásticamente el rendimiento, ya que el fluido podría fluir mientras el campo magnético está cambiando en la dirección opuesta, interrumpiendo el gradiente de temperatura.</w:t>
      </w:r>
      <w:r>
        <w:rPr>
          <w:rFonts w:ascii="Google Sans Text" w:eastAsia="Google Sans Text" w:hAnsi="Google Sans Text" w:cs="Google Sans Text"/>
          <w:sz w:val="24"/>
          <w:szCs w:val="24"/>
          <w:vertAlign w:val="superscript"/>
        </w:rPr>
        <w:t>22</w:t>
      </w:r>
      <w:r>
        <w:rPr>
          <w:rFonts w:ascii="Google Sans Text" w:eastAsia="Google Sans Text" w:hAnsi="Google Sans Text" w:cs="Google Sans Text"/>
        </w:rPr>
        <w:t xml:space="preserve"> Además, el diseño geométrico del regenerador (por ejemplo, el tamaño de las partículas o el espaciado de las placas) debe optimizarse para maximizar la transferencia de calor y minimizar la caída de presión del fluido, dos objetivos que a menudo están en conflicto.</w:t>
      </w:r>
      <w:r>
        <w:rPr>
          <w:rFonts w:ascii="Google Sans Text" w:eastAsia="Google Sans Text" w:hAnsi="Google Sans Text" w:cs="Google Sans Text"/>
          <w:sz w:val="24"/>
          <w:szCs w:val="24"/>
          <w:vertAlign w:val="superscript"/>
        </w:rPr>
        <w:t>23</w:t>
      </w:r>
      <w:r>
        <w:rPr>
          <w:rFonts w:ascii="Google Sans Text" w:eastAsia="Google Sans Text" w:hAnsi="Google Sans Text" w:cs="Google Sans Text"/>
        </w:rPr>
        <w:t xml:space="preserve"> Por lo tanto, el diseño de un refrigerador magnético eficiente es un problema </w:t>
      </w:r>
      <w:proofErr w:type="spellStart"/>
      <w:r>
        <w:rPr>
          <w:rFonts w:ascii="Google Sans Text" w:eastAsia="Google Sans Text" w:hAnsi="Google Sans Text" w:cs="Google Sans Text"/>
        </w:rPr>
        <w:t>multifísico</w:t>
      </w:r>
      <w:proofErr w:type="spellEnd"/>
      <w:r>
        <w:rPr>
          <w:rFonts w:ascii="Google Sans Text" w:eastAsia="Google Sans Text" w:hAnsi="Google Sans Text" w:cs="Google Sans Text"/>
        </w:rPr>
        <w:t xml:space="preserve"> que requiere la </w:t>
      </w:r>
      <w:proofErr w:type="spellStart"/>
      <w:r>
        <w:rPr>
          <w:rFonts w:ascii="Google Sans Text" w:eastAsia="Google Sans Text" w:hAnsi="Google Sans Text" w:cs="Google Sans Text"/>
        </w:rPr>
        <w:t>co</w:t>
      </w:r>
      <w:proofErr w:type="spellEnd"/>
      <w:r>
        <w:rPr>
          <w:rFonts w:ascii="Google Sans Text" w:eastAsia="Google Sans Text" w:hAnsi="Google Sans Text" w:cs="Google Sans Text"/>
        </w:rPr>
        <w:t>-optimización del material, el sistema magnético y la ingeniería de fluidos y transferencia de calor.</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2"/>
        <w:spacing w:before="0" w:line="275" w:lineRule="auto"/>
        <w:rPr>
          <w:rFonts w:ascii="Google Sans" w:eastAsia="Google Sans" w:hAnsi="Google Sans" w:cs="Google Sans"/>
        </w:rPr>
      </w:pPr>
      <w:r>
        <w:rPr>
          <w:rFonts w:ascii="Google Sans" w:eastAsia="Google Sans" w:hAnsi="Google Sans" w:cs="Google Sans"/>
        </w:rPr>
        <w:lastRenderedPageBreak/>
        <w:t>3. Formalismo Matemático y Ecuaciones Gobernantes</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cuantificación del efecto magnetocalórico y el rendimiento de un ciclo de refrigeración magnética se basa en un sólido formalismo termodinámico que relaciona las propiedades magnéticas y térmicas de los materiales.</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3.1. Entropía Total y la Relación de Maxwell</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base termodinámica del MCE se encuentra en la dependencia de la entropía total de un sólido magnético, S, de la temperatura (T) y del campo magnético aplicado (H). La entropía total es la suma de tres contribuciones principales: la entropía magnética (Sm​), asociada al orden de los espines; la entropía de la red (Slat​), asociada a las vibraciones atómicas (fonones); y la entropía electrónica (Sel​), asociada a los electrones de conducción.</w:t>
      </w:r>
      <w:r>
        <w:rPr>
          <w:rFonts w:ascii="Google Sans Text" w:eastAsia="Google Sans Text" w:hAnsi="Google Sans Text" w:cs="Google Sans Text"/>
          <w:sz w:val="24"/>
          <w:szCs w:val="24"/>
          <w:vertAlign w:val="superscript"/>
        </w:rPr>
        <w:t>24</w:t>
      </w:r>
    </w:p>
    <w:p w:rsidR="00DB3014" w:rsidRPr="002E1313"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lang w:val="fr-FR"/>
        </w:rPr>
      </w:pPr>
      <w:r w:rsidRPr="002E1313">
        <w:rPr>
          <w:rFonts w:ascii="Google Sans Text" w:eastAsia="Google Sans Text" w:hAnsi="Google Sans Text" w:cs="Google Sans Text"/>
          <w:lang w:val="fr-FR"/>
        </w:rPr>
        <w:t>S(T,H)=Sm​(T,H)+Slat​(T)+Sel​(T)</w:t>
      </w:r>
    </w:p>
    <w:p w:rsidR="00DB3014" w:rsidRPr="002E1313" w:rsidRDefault="00DB3014" w:rsidP="002E1313">
      <w:pPr>
        <w:pBdr>
          <w:top w:val="nil"/>
          <w:left w:val="nil"/>
          <w:bottom w:val="nil"/>
          <w:right w:val="nil"/>
          <w:between w:val="nil"/>
        </w:pBdr>
        <w:spacing w:line="275" w:lineRule="auto"/>
        <w:jc w:val="both"/>
        <w:rPr>
          <w:rFonts w:ascii="Google Sans Text" w:eastAsia="Google Sans Text" w:hAnsi="Google Sans Text" w:cs="Google Sans Text"/>
          <w:lang w:val="fr-FR"/>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Mientras que Slat​ y Sel​ dependen principalmente de la temperatura, Sm​ es una función tanto de la temperatura como del campo magnético. La herramienta matemática clave que conecta el mundo magnético con el térmico es una de las relaciones de Maxwell, que se deriva del potencial termodinámico de la energía libre de Gibbs 24:</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(∂H∂S​)T​=(∂T∂M​)H​</w:t>
      </w:r>
    </w:p>
    <w:p w:rsidR="00DB3014" w:rsidRDefault="00DB3014" w:rsidP="002E1313">
      <w:pPr>
        <w:pBdr>
          <w:top w:val="nil"/>
          <w:left w:val="nil"/>
          <w:bottom w:val="nil"/>
          <w:right w:val="nil"/>
          <w:between w:val="nil"/>
        </w:pBdr>
        <w:spacing w:line="275" w:lineRule="auto"/>
        <w:jc w:val="both"/>
        <w:rPr>
          <w:rFonts w:ascii="Google Sans Text" w:eastAsia="Google Sans Text" w:hAnsi="Google Sans Text" w:cs="Google Sans Text"/>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Esta ecuación es fundamental porque establece que el cambio de entropía con el campo magnético a temperatura constante es igual al cambio de magnetización (M) con la temperatura a campo magnético constante. Esto permite calcular cambios de entropía, una cantidad no medible directamente, a partir de mediciones de magnetización, que son experimentalmente accesibles.</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3.2. Cambio de Entropía Magnética Isotérmica (</w:t>
      </w: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w:t>
      </w:r>
      <w:r>
        <w:rPr>
          <w:rFonts w:ascii="Google Sans" w:eastAsia="Google Sans" w:hAnsi="Google Sans" w:cs="Google Sans"/>
        </w:rPr>
        <w:t>)</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El cambio de entropía magnética isotérmica, </w:t>
      </w: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 xml:space="preserve">​, cuantifica la variación de la entropía del material cuando el campo magnético se modifica de un valor inicial H0​ a un valor final H1​ manteniendo la temperatura constante. Se obtiene integrando la relación de Maxwell </w:t>
      </w:r>
      <w:r>
        <w:rPr>
          <w:rFonts w:ascii="Google Sans Text" w:eastAsia="Google Sans Text" w:hAnsi="Google Sans Text" w:cs="Google Sans Text"/>
          <w:sz w:val="24"/>
          <w:szCs w:val="24"/>
          <w:vertAlign w:val="superscript"/>
        </w:rPr>
        <w:t>24</w:t>
      </w:r>
      <w:r>
        <w:rPr>
          <w:rFonts w:ascii="Google Sans Text" w:eastAsia="Google Sans Text" w:hAnsi="Google Sans Text" w:cs="Google Sans Text"/>
        </w:rPr>
        <w:t>:</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​(T,ΔH)=∫H0​H1​​(∂T∂M(T,H)​)H​</w:t>
      </w:r>
      <w:proofErr w:type="spellStart"/>
      <w:r>
        <w:rPr>
          <w:rFonts w:ascii="Google Sans Text" w:eastAsia="Google Sans Text" w:hAnsi="Google Sans Text" w:cs="Google Sans Text"/>
        </w:rPr>
        <w:t>dH</w:t>
      </w:r>
      <w:proofErr w:type="spellEnd"/>
    </w:p>
    <w:p w:rsidR="00DB3014" w:rsidRDefault="00DB3014" w:rsidP="002E1313">
      <w:pPr>
        <w:pBdr>
          <w:top w:val="nil"/>
          <w:left w:val="nil"/>
          <w:bottom w:val="nil"/>
          <w:right w:val="nil"/>
          <w:between w:val="nil"/>
        </w:pBdr>
        <w:spacing w:line="275" w:lineRule="auto"/>
        <w:jc w:val="both"/>
        <w:rPr>
          <w:rFonts w:ascii="Google Sans Text" w:eastAsia="Google Sans Text" w:hAnsi="Google Sans Text" w:cs="Google Sans Text"/>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Para un material magnetocalórico, la magnetización disminuye al aumentar la temperatura, por lo que (∂T∂M​)H​ es negativo. Por lo tanto, al aplicar un campo magnético (H1​&gt;H0​), el </w:t>
      </w: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 xml:space="preserve">​ es negativo, lo que corresponde a la reducción de la entropía debido a la alineación de los espines. </w:t>
      </w:r>
      <w:r>
        <w:rPr>
          <w:rFonts w:ascii="Google Sans Text" w:eastAsia="Google Sans Text" w:hAnsi="Google Sans Text" w:cs="Google Sans Text"/>
        </w:rPr>
        <w:lastRenderedPageBreak/>
        <w:t xml:space="preserve">Un valor absoluto grande de </w:t>
      </w: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 es una característica deseable en un material refrigerante, ya que está directamente relacionado con la cantidad de calor que puede ser intercambiado con el fluido de transferencia en un ciclo ideal.25</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3.3. Cambio de Temperatura Adiabático (</w:t>
      </w: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w:t>
      </w:r>
      <w:r>
        <w:rPr>
          <w:rFonts w:ascii="Google Sans" w:eastAsia="Google Sans" w:hAnsi="Google Sans" w:cs="Google Sans"/>
        </w:rPr>
        <w:t>)</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El cambio de temperatura adiabático, </w:t>
      </w: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 xml:space="preserve">​, es el cambio de temperatura que experimenta el material cuando el campo magnético se varía en condiciones de aislamiento térmico (entropía total constante). Se puede derivar de los principios termodinámicos y se expresa como </w:t>
      </w:r>
      <w:r>
        <w:rPr>
          <w:rFonts w:ascii="Google Sans Text" w:eastAsia="Google Sans Text" w:hAnsi="Google Sans Text" w:cs="Google Sans Text"/>
          <w:sz w:val="24"/>
          <w:szCs w:val="24"/>
          <w:vertAlign w:val="superscript"/>
        </w:rPr>
        <w:t>24</w:t>
      </w:r>
      <w:r>
        <w:rPr>
          <w:rFonts w:ascii="Google Sans Text" w:eastAsia="Google Sans Text" w:hAnsi="Google Sans Text" w:cs="Google Sans Text"/>
        </w:rPr>
        <w:t>:</w:t>
      </w:r>
    </w:p>
    <w:p w:rsidR="00DB3014" w:rsidRDefault="00DB3014" w:rsidP="002E1313">
      <w:pPr>
        <w:pBdr>
          <w:top w:val="nil"/>
          <w:left w:val="nil"/>
          <w:bottom w:val="nil"/>
          <w:right w:val="nil"/>
          <w:between w:val="nil"/>
        </w:pBdr>
        <w:spacing w:line="275" w:lineRule="auto"/>
        <w:jc w:val="both"/>
        <w:rPr>
          <w:rFonts w:ascii="Google Sans Text" w:eastAsia="Google Sans Text" w:hAnsi="Google Sans Text" w:cs="Google Sans Text"/>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\Delta T_{ad}(T, \Delta H) = - \</w:t>
      </w:r>
      <w:proofErr w:type="spellStart"/>
      <w:r>
        <w:rPr>
          <w:rFonts w:ascii="Google Sans Text" w:eastAsia="Google Sans Text" w:hAnsi="Google Sans Text" w:cs="Google Sans Text"/>
        </w:rPr>
        <w:t>int</w:t>
      </w:r>
      <w:proofErr w:type="spellEnd"/>
      <w:r>
        <w:rPr>
          <w:rFonts w:ascii="Google Sans Text" w:eastAsia="Google Sans Text" w:hAnsi="Google Sans Text" w:cs="Google Sans Text"/>
        </w:rPr>
        <w:t>_{H_0}^{H_1} \frac{T}{C(T, H)} \</w:t>
      </w:r>
      <w:proofErr w:type="spellStart"/>
      <w:r>
        <w:rPr>
          <w:rFonts w:ascii="Google Sans Text" w:eastAsia="Google Sans Text" w:hAnsi="Google Sans Text" w:cs="Google Sans Text"/>
        </w:rPr>
        <w:t>left</w:t>
      </w:r>
      <w:proofErr w:type="spellEnd"/>
      <w:r>
        <w:rPr>
          <w:rFonts w:ascii="Google Sans Text" w:eastAsia="Google Sans Text" w:hAnsi="Google Sans Text" w:cs="Google Sans Text"/>
        </w:rPr>
        <w:t>( \frac{\</w:t>
      </w:r>
      <w:proofErr w:type="spellStart"/>
      <w:r>
        <w:rPr>
          <w:rFonts w:ascii="Google Sans Text" w:eastAsia="Google Sans Text" w:hAnsi="Google Sans Text" w:cs="Google Sans Text"/>
        </w:rPr>
        <w:t>partial</w:t>
      </w:r>
      <w:proofErr w:type="spellEnd"/>
      <w:r>
        <w:rPr>
          <w:rFonts w:ascii="Google Sans Text" w:eastAsia="Google Sans Text" w:hAnsi="Google Sans Text" w:cs="Google Sans Text"/>
        </w:rPr>
        <w:t xml:space="preserve"> M(T, H)}{\</w:t>
      </w:r>
      <w:proofErr w:type="spellStart"/>
      <w:r>
        <w:rPr>
          <w:rFonts w:ascii="Google Sans Text" w:eastAsia="Google Sans Text" w:hAnsi="Google Sans Text" w:cs="Google Sans Text"/>
        </w:rPr>
        <w:t>partial</w:t>
      </w:r>
      <w:proofErr w:type="spellEnd"/>
      <w:r>
        <w:rPr>
          <w:rFonts w:ascii="Google Sans Text" w:eastAsia="Google Sans Text" w:hAnsi="Google Sans Text" w:cs="Google Sans Text"/>
        </w:rPr>
        <w:t xml:space="preserve"> T} \</w:t>
      </w:r>
      <w:proofErr w:type="spellStart"/>
      <w:r>
        <w:rPr>
          <w:rFonts w:ascii="Google Sans Text" w:eastAsia="Google Sans Text" w:hAnsi="Google Sans Text" w:cs="Google Sans Text"/>
        </w:rPr>
        <w:t>right</w:t>
      </w:r>
      <w:proofErr w:type="spellEnd"/>
      <w:r>
        <w:rPr>
          <w:rFonts w:ascii="Google Sans Text" w:eastAsia="Google Sans Text" w:hAnsi="Google Sans Text" w:cs="Google Sans Text"/>
        </w:rPr>
        <w:t xml:space="preserve">)_H </w:t>
      </w:r>
      <w:proofErr w:type="spellStart"/>
      <w:r>
        <w:rPr>
          <w:rFonts w:ascii="Google Sans Text" w:eastAsia="Google Sans Text" w:hAnsi="Google Sans Text" w:cs="Google Sans Text"/>
        </w:rPr>
        <w:t>dH</w:t>
      </w:r>
      <w:proofErr w:type="spellEnd"/>
      <w:r>
        <w:rPr>
          <w:rFonts w:ascii="Google Sans Text" w:eastAsia="Google Sans Text" w:hAnsi="Google Sans Text" w:cs="Google Sans Text"/>
        </w:rPr>
        <w:t xml:space="preserve"> $$</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Donde C(T,H) es la capacidad calorífica específica del material a campo y temperatura constantes. Esta ecuación revela los requisitos para un material con un gran MCE: además de un gran cambio en la magnetización con la temperatura (un valor de (∂T∂M​)H​ grande y negativo), el material debe poseer una baja capacidad calorífica. Una capacidad calorífica baja significa que se necesita menos energía para cambiar la temperatura del material, lo que maximiza el calentamiento o enfriamiento para un cambio de entropía magnética dado.4</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Estas ecuaciones demuestran la compleja interdependencia de las propiedades del material. La búsqueda de un refrigerante magnético superior no se limita a maximizar el cambio de magnetización cerca de la temperatura de Curie. Es un problema de optimización multifactorial que también debe considerar la capacidad calorífica para maximizar el </w:t>
      </w: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 y, además, una alta conductividad térmica para facilitar una rápida transferencia de calor hacia y desde el fluido regenerador, permitiendo mayores frecuencias de ciclo.</w:t>
      </w:r>
      <w:r>
        <w:rPr>
          <w:rFonts w:ascii="Google Sans Text" w:eastAsia="Google Sans Text" w:hAnsi="Google Sans Text" w:cs="Google Sans Text"/>
          <w:sz w:val="24"/>
          <w:szCs w:val="24"/>
          <w:vertAlign w:val="superscript"/>
        </w:rPr>
        <w:t>4</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3.4. Capacidad de Refrigeración y Coeficiente de Rendimiento (COP)</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Para evaluar la utilidad práctica de un material, se utilizan métricas de rendimiento que van más allá del pico de </w:t>
      </w: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 xml:space="preserve">​ o </w:t>
      </w: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 xml:space="preserve">​. Una de las más importantes es la </w:t>
      </w:r>
      <w:r>
        <w:rPr>
          <w:rFonts w:ascii="Google Sans Text" w:eastAsia="Google Sans Text" w:hAnsi="Google Sans Text" w:cs="Google Sans Text"/>
          <w:b/>
        </w:rPr>
        <w:t>Capacidad de Refrigeración (RC)</w:t>
      </w:r>
      <w:r>
        <w:rPr>
          <w:rFonts w:ascii="Google Sans Text" w:eastAsia="Google Sans Text" w:hAnsi="Google Sans Text" w:cs="Google Sans Text"/>
        </w:rPr>
        <w:t>, que cuantifica la cantidad de calor que puede ser transferida en un ciclo ideal entre las temperaturas del foco caliente (Thot​) y el foco frío (</w:t>
      </w:r>
      <w:proofErr w:type="spellStart"/>
      <w:r>
        <w:rPr>
          <w:rFonts w:ascii="Google Sans Text" w:eastAsia="Google Sans Text" w:hAnsi="Google Sans Text" w:cs="Google Sans Text"/>
        </w:rPr>
        <w:t>Tcold</w:t>
      </w:r>
      <w:proofErr w:type="spellEnd"/>
      <w:r>
        <w:rPr>
          <w:rFonts w:ascii="Google Sans Text" w:eastAsia="Google Sans Text" w:hAnsi="Google Sans Text" w:cs="Google Sans Text"/>
        </w:rPr>
        <w:t xml:space="preserve">​). Se calcula integrando la curva de cambio de entropía magnética sobre el rango de temperatura de trabajo </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w:t>
      </w:r>
    </w:p>
    <w:p w:rsidR="00DB3014" w:rsidRPr="002E1313"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lang w:val="en-US"/>
        </w:rPr>
      </w:pPr>
      <w:r w:rsidRPr="002E1313">
        <w:rPr>
          <w:rFonts w:ascii="Google Sans Text" w:eastAsia="Google Sans Text" w:hAnsi="Google Sans Text" w:cs="Google Sans Text"/>
          <w:lang w:val="en-US"/>
        </w:rPr>
        <w:t>q=∫Tcold​Thot​​</w:t>
      </w:r>
      <w:r>
        <w:rPr>
          <w:rFonts w:ascii="Google Sans Text" w:eastAsia="Google Sans Text" w:hAnsi="Google Sans Text" w:cs="Google Sans Text"/>
        </w:rPr>
        <w:t>Δ</w:t>
      </w:r>
      <w:r w:rsidRPr="002E1313">
        <w:rPr>
          <w:rFonts w:ascii="Google Sans Text" w:eastAsia="Google Sans Text" w:hAnsi="Google Sans Text" w:cs="Google Sans Text"/>
          <w:lang w:val="en-US"/>
        </w:rPr>
        <w:t>Sm​(T)</w:t>
      </w:r>
      <w:r>
        <w:rPr>
          <w:rFonts w:ascii="Google Sans Text" w:eastAsia="Google Sans Text" w:hAnsi="Google Sans Text" w:cs="Google Sans Text"/>
        </w:rPr>
        <w:t>Δ</w:t>
      </w:r>
      <w:r w:rsidRPr="002E1313">
        <w:rPr>
          <w:rFonts w:ascii="Google Sans Text" w:eastAsia="Google Sans Text" w:hAnsi="Google Sans Text" w:cs="Google Sans Text"/>
          <w:lang w:val="en-US"/>
        </w:rPr>
        <w:t>H​dT</w:t>
      </w:r>
    </w:p>
    <w:p w:rsidR="00DB3014" w:rsidRPr="002E1313" w:rsidRDefault="00DB3014" w:rsidP="002E1313">
      <w:pPr>
        <w:pBdr>
          <w:top w:val="nil"/>
          <w:left w:val="nil"/>
          <w:bottom w:val="nil"/>
          <w:right w:val="nil"/>
          <w:between w:val="nil"/>
        </w:pBdr>
        <w:spacing w:line="275" w:lineRule="auto"/>
        <w:jc w:val="both"/>
        <w:rPr>
          <w:rFonts w:ascii="Google Sans Text" w:eastAsia="Google Sans Text" w:hAnsi="Google Sans Text" w:cs="Google Sans Text"/>
          <w:lang w:val="en-U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Un material con una curva de </w:t>
      </w: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 que es no solo alta sino también ancha es preferible, ya que indica una alta capacidad de refrigeración sobre un rango de temperatura más amplio.</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El rendimiento global de un refrigerador magnético se mide por su </w:t>
      </w:r>
      <w:r>
        <w:rPr>
          <w:rFonts w:ascii="Google Sans Text" w:eastAsia="Google Sans Text" w:hAnsi="Google Sans Text" w:cs="Google Sans Text"/>
          <w:b/>
        </w:rPr>
        <w:t>Coeficiente de Rendimiento (COP)</w:t>
      </w:r>
      <w:r>
        <w:rPr>
          <w:rFonts w:ascii="Google Sans Text" w:eastAsia="Google Sans Text" w:hAnsi="Google Sans Text" w:cs="Google Sans Text"/>
        </w:rPr>
        <w:t xml:space="preserve">, definido como la relación entre el calor extraído del espacio frío (QC​) y el </w:t>
      </w:r>
      <w:r>
        <w:rPr>
          <w:rFonts w:ascii="Google Sans Text" w:eastAsia="Google Sans Text" w:hAnsi="Google Sans Text" w:cs="Google Sans Text"/>
        </w:rPr>
        <w:lastRenderedPageBreak/>
        <w:t xml:space="preserve">trabajo neto (W) suministrado al sistema durante un ciclo </w:t>
      </w:r>
      <w:r>
        <w:rPr>
          <w:rFonts w:ascii="Google Sans Text" w:eastAsia="Google Sans Text" w:hAnsi="Google Sans Text" w:cs="Google Sans Text"/>
          <w:sz w:val="24"/>
          <w:szCs w:val="24"/>
          <w:vertAlign w:val="superscript"/>
        </w:rPr>
        <w:t>4</w:t>
      </w:r>
      <w:r>
        <w:rPr>
          <w:rFonts w:ascii="Google Sans Text" w:eastAsia="Google Sans Text" w:hAnsi="Google Sans Text" w:cs="Google Sans Text"/>
        </w:rPr>
        <w:t>:</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COP=WQC​​</w:t>
      </w:r>
    </w:p>
    <w:p w:rsidR="00DB3014" w:rsidRDefault="00DB3014" w:rsidP="002E1313">
      <w:pPr>
        <w:pBdr>
          <w:top w:val="nil"/>
          <w:left w:val="nil"/>
          <w:bottom w:val="nil"/>
          <w:right w:val="nil"/>
          <w:between w:val="nil"/>
        </w:pBdr>
        <w:spacing w:line="275" w:lineRule="auto"/>
        <w:jc w:val="both"/>
        <w:rPr>
          <w:rFonts w:ascii="Google Sans Text" w:eastAsia="Google Sans Text" w:hAnsi="Google Sans Text" w:cs="Google Sans Text"/>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trabajo en un ciclo magnético es principalmente el trabajo magnético realizado para ciclar el material dentro y fuera del campo magnético, además del trabajo de bombeo del fluido. Un COP alto indica una alta eficiencia, ya que se extrae una gran cantidad de calor con una pequeña cantidad de trabajo.</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2"/>
        <w:spacing w:before="0" w:line="275" w:lineRule="auto"/>
        <w:rPr>
          <w:rFonts w:ascii="Google Sans" w:eastAsia="Google Sans" w:hAnsi="Google Sans" w:cs="Google Sans"/>
        </w:rPr>
      </w:pPr>
      <w:r>
        <w:rPr>
          <w:rFonts w:ascii="Google Sans" w:eastAsia="Google Sans" w:hAnsi="Google Sans" w:cs="Google Sans"/>
        </w:rPr>
        <w:t>4. Análisis Comparativo Exhaustivo: Refrigeración Magnética vs. Compresión de Vapor</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Una evaluación completa de la tecnología de refrigeración magnética requiere un análisis equilibrado de sus ventajas inherentes y los desafíos que actualmente limitan su adopción generalizada, en comparación directa con la tecnología dominante de compresión de vapor.</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4.1. Ventajas Fundamentales de la Refrigeración Magnética</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refrigeración magnética ofrece un conjunto de ventajas transformadoras que abordan directamente las principales deficiencias de los sistemas convencionales.</w:t>
      </w:r>
    </w:p>
    <w:p w:rsidR="00DB3014" w:rsidRDefault="00000000" w:rsidP="002E1313">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rPr>
        <w:t>Eficiencia Energética Superior:</w:t>
      </w:r>
      <w:r>
        <w:rPr>
          <w:rFonts w:ascii="Google Sans Text" w:eastAsia="Google Sans Text" w:hAnsi="Google Sans Text" w:cs="Google Sans Text"/>
        </w:rPr>
        <w:t xml:space="preserve"> El potencial de eficiencia es una de las ventajas más citadas. Mientras que los sistemas de compresión de vapor son una tecnología madura que se acerca a sus límites de eficiencia termodinámica, la refrigeración magnética opera con un ciclo de estado sólido que teóricamente puede ser más eficiente. Los prototipos y modelos sugieren mejoras de eficiencia del 20% al 30% </w:t>
      </w:r>
      <w:r>
        <w:rPr>
          <w:rFonts w:ascii="Google Sans Text" w:eastAsia="Google Sans Text" w:hAnsi="Google Sans Text" w:cs="Google Sans Text"/>
          <w:sz w:val="24"/>
          <w:szCs w:val="24"/>
          <w:vertAlign w:val="superscript"/>
        </w:rPr>
        <w:t>3</w:t>
      </w:r>
      <w:r>
        <w:rPr>
          <w:rFonts w:ascii="Google Sans Text" w:eastAsia="Google Sans Text" w:hAnsi="Google Sans Text" w:cs="Google Sans Text"/>
        </w:rPr>
        <w:t>, con algunas proyecciones teóricas que alcanzan hasta el 50%.</w:t>
      </w:r>
      <w:r>
        <w:rPr>
          <w:rFonts w:ascii="Google Sans Text" w:eastAsia="Google Sans Text" w:hAnsi="Google Sans Text" w:cs="Google Sans Text"/>
          <w:sz w:val="24"/>
          <w:szCs w:val="24"/>
          <w:vertAlign w:val="superscript"/>
        </w:rPr>
        <w:t>13</w:t>
      </w:r>
      <w:r>
        <w:rPr>
          <w:rFonts w:ascii="Google Sans Text" w:eastAsia="Google Sans Text" w:hAnsi="Google Sans Text" w:cs="Google Sans Text"/>
        </w:rPr>
        <w:t xml:space="preserve"> Esta mejora podría traducirse en ahorros significativos de energía a escala global, dado que la refrigeración y el aire acondicionado representan una parte sustancial del consumo eléctrico mundial.</w:t>
      </w:r>
    </w:p>
    <w:p w:rsidR="00DB3014" w:rsidRDefault="00000000" w:rsidP="002E1313">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rPr>
        <w:t>Impacto Ambiental Nulo (Directo):</w:t>
      </w:r>
      <w:r>
        <w:rPr>
          <w:rFonts w:ascii="Google Sans Text" w:eastAsia="Google Sans Text" w:hAnsi="Google Sans Text" w:cs="Google Sans Text"/>
        </w:rPr>
        <w:t xml:space="preserve"> Esta es, quizás, la ventaja más disruptiva. Al utilizar un refrigerante sólido (el material magnetocalórico) y un fluido de transferencia de calor benigno (como una mezcla de agua y alcohol), la refrigeración magnética elimina por completo la necesidad de refrigerantes gaseosos sintéticos (</w:t>
      </w:r>
      <w:proofErr w:type="spellStart"/>
      <w:r>
        <w:rPr>
          <w:rFonts w:ascii="Google Sans Text" w:eastAsia="Google Sans Text" w:hAnsi="Google Sans Text" w:cs="Google Sans Text"/>
        </w:rPr>
        <w:t>CFCs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HCFCs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HFCs</w:t>
      </w:r>
      <w:proofErr w:type="spellEnd"/>
      <w:r>
        <w:rPr>
          <w:rFonts w:ascii="Google Sans Text" w:eastAsia="Google Sans Text" w:hAnsi="Google Sans Text" w:cs="Google Sans Text"/>
        </w:rPr>
        <w:t>).</w:t>
      </w:r>
      <w:r>
        <w:rPr>
          <w:rFonts w:ascii="Google Sans Text" w:eastAsia="Google Sans Text" w:hAnsi="Google Sans Text" w:cs="Google Sans Text"/>
          <w:sz w:val="24"/>
          <w:szCs w:val="24"/>
          <w:vertAlign w:val="superscript"/>
        </w:rPr>
        <w:t>8</w:t>
      </w:r>
      <w:r>
        <w:rPr>
          <w:rFonts w:ascii="Google Sans Text" w:eastAsia="Google Sans Text" w:hAnsi="Google Sans Text" w:cs="Google Sans Text"/>
        </w:rPr>
        <w:t xml:space="preserve"> Esto significa que no hay riesgo de fugas de gases con alto Potencial de Calentamiento Global (GWP) o Potencial de Agotamiento del Ozono (ODP), lo que convierte a esta tecnología en una solución "verde" por diseño y la alinea con las regulaciones ambientales más estrictas.</w:t>
      </w:r>
      <w:r>
        <w:rPr>
          <w:rFonts w:ascii="Google Sans Text" w:eastAsia="Google Sans Text" w:hAnsi="Google Sans Text" w:cs="Google Sans Text"/>
          <w:sz w:val="24"/>
          <w:szCs w:val="24"/>
          <w:vertAlign w:val="superscript"/>
        </w:rPr>
        <w:t>4</w:t>
      </w:r>
    </w:p>
    <w:p w:rsidR="00DB3014" w:rsidRDefault="00000000" w:rsidP="002E1313">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rPr>
        <w:t>Características Operativas Mejoradas:</w:t>
      </w:r>
    </w:p>
    <w:p w:rsidR="00DB3014" w:rsidRDefault="00000000" w:rsidP="002E1313">
      <w:pPr>
        <w:numPr>
          <w:ilvl w:val="1"/>
          <w:numId w:val="4"/>
        </w:numPr>
        <w:pBdr>
          <w:top w:val="nil"/>
          <w:left w:val="nil"/>
          <w:bottom w:val="nil"/>
          <w:right w:val="nil"/>
          <w:between w:val="nil"/>
        </w:pBdr>
        <w:spacing w:line="275" w:lineRule="auto"/>
        <w:jc w:val="both"/>
      </w:pPr>
      <w:r>
        <w:rPr>
          <w:rFonts w:ascii="Google Sans Text" w:eastAsia="Google Sans Text" w:hAnsi="Google Sans Text" w:cs="Google Sans Text"/>
          <w:b/>
        </w:rPr>
        <w:t>Funcionamiento Silencioso:</w:t>
      </w:r>
      <w:r>
        <w:rPr>
          <w:rFonts w:ascii="Google Sans Text" w:eastAsia="Google Sans Text" w:hAnsi="Google Sans Text" w:cs="Google Sans Text"/>
        </w:rPr>
        <w:t xml:space="preserve"> La ausencia de un compresor mecánico, la principal </w:t>
      </w:r>
      <w:r>
        <w:rPr>
          <w:rFonts w:ascii="Google Sans Text" w:eastAsia="Google Sans Text" w:hAnsi="Google Sans Text" w:cs="Google Sans Text"/>
        </w:rPr>
        <w:lastRenderedPageBreak/>
        <w:t>fuente de ruido en los refrigeradores convencionales, permite un funcionamiento casi silencioso. Esta característica es altamente deseable en aplicaciones domésticas, comerciales (hoteles, oficinas) y especializadas como equipos médicos y de laboratorio.</w:t>
      </w:r>
      <w:r>
        <w:rPr>
          <w:rFonts w:ascii="Google Sans Text" w:eastAsia="Google Sans Text" w:hAnsi="Google Sans Text" w:cs="Google Sans Text"/>
          <w:sz w:val="24"/>
          <w:szCs w:val="24"/>
          <w:vertAlign w:val="superscript"/>
        </w:rPr>
        <w:t>3</w:t>
      </w:r>
    </w:p>
    <w:p w:rsidR="00DB3014" w:rsidRDefault="00000000" w:rsidP="002E1313">
      <w:pPr>
        <w:numPr>
          <w:ilvl w:val="1"/>
          <w:numId w:val="4"/>
        </w:numPr>
        <w:pBdr>
          <w:top w:val="nil"/>
          <w:left w:val="nil"/>
          <w:bottom w:val="nil"/>
          <w:right w:val="nil"/>
          <w:between w:val="nil"/>
        </w:pBdr>
        <w:spacing w:line="275" w:lineRule="auto"/>
        <w:jc w:val="both"/>
      </w:pPr>
      <w:r>
        <w:rPr>
          <w:rFonts w:ascii="Google Sans Text" w:eastAsia="Google Sans Text" w:hAnsi="Google Sans Text" w:cs="Google Sans Text"/>
          <w:b/>
        </w:rPr>
        <w:t>Mayor Fiabilidad y Menor Mantenimiento:</w:t>
      </w:r>
      <w:r>
        <w:rPr>
          <w:rFonts w:ascii="Google Sans Text" w:eastAsia="Google Sans Text" w:hAnsi="Google Sans Text" w:cs="Google Sans Text"/>
        </w:rPr>
        <w:t xml:space="preserve"> La simplicidad mecánica, con significativamente menos piezas móviles sujetas a desgaste, promete una mayor fiabilidad y una vida útil más larga para los sistemas. Los requisitos de mantenimiento se reducen drásticamente al no haber necesidad de gestionar un refrigerante a alta presión ni de reparar fugas.</w:t>
      </w:r>
      <w:r>
        <w:rPr>
          <w:rFonts w:ascii="Google Sans Text" w:eastAsia="Google Sans Text" w:hAnsi="Google Sans Text" w:cs="Google Sans Text"/>
          <w:sz w:val="24"/>
          <w:szCs w:val="24"/>
          <w:vertAlign w:val="superscript"/>
        </w:rPr>
        <w:t>7</w:t>
      </w:r>
    </w:p>
    <w:p w:rsidR="00DB3014" w:rsidRDefault="00000000" w:rsidP="002E1313">
      <w:pPr>
        <w:numPr>
          <w:ilvl w:val="1"/>
          <w:numId w:val="4"/>
        </w:numPr>
        <w:pBdr>
          <w:top w:val="nil"/>
          <w:left w:val="nil"/>
          <w:bottom w:val="nil"/>
          <w:right w:val="nil"/>
          <w:between w:val="nil"/>
        </w:pBdr>
        <w:spacing w:line="275" w:lineRule="auto"/>
        <w:jc w:val="both"/>
      </w:pPr>
      <w:r>
        <w:rPr>
          <w:rFonts w:ascii="Google Sans Text" w:eastAsia="Google Sans Text" w:hAnsi="Google Sans Text" w:cs="Google Sans Text"/>
          <w:b/>
        </w:rPr>
        <w:t>Diseño Compacto y Flexible:</w:t>
      </w:r>
      <w:r>
        <w:rPr>
          <w:rFonts w:ascii="Google Sans Text" w:eastAsia="Google Sans Text" w:hAnsi="Google Sans Text" w:cs="Google Sans Text"/>
        </w:rPr>
        <w:t xml:space="preserve"> La eliminación del voluminoso compresor y sus componentes asociados permite diseños de sistemas más compactos y flexibles, lo que puede ser una ventaja en aplicaciones con espacio limitado, como la refrigeración de bebidas o vitrinas comerciales.</w:t>
      </w:r>
      <w:r>
        <w:rPr>
          <w:rFonts w:ascii="Google Sans Text" w:eastAsia="Google Sans Text" w:hAnsi="Google Sans Text" w:cs="Google Sans Text"/>
          <w:sz w:val="24"/>
          <w:szCs w:val="24"/>
          <w:vertAlign w:val="superscript"/>
        </w:rPr>
        <w:t>8</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4.2. Desventajas y Limitaciones Actuales</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 pesar de su gran potencial, la tecnología de refrigeración magnética enfrenta importantes obstáculos que han frenado su comercialización a gran escala.</w:t>
      </w:r>
    </w:p>
    <w:p w:rsidR="00DB3014" w:rsidRDefault="00000000" w:rsidP="002E1313">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Alto Coste de Inversión Inicial:</w:t>
      </w:r>
      <w:r>
        <w:rPr>
          <w:rFonts w:ascii="Google Sans Text" w:eastAsia="Google Sans Text" w:hAnsi="Google Sans Text" w:cs="Google Sans Text"/>
        </w:rPr>
        <w:t xml:space="preserve"> Este es el principal desafío. Los dos componentes clave del sistema son caros. Los imanes permanentes de alto campo, típicamente de neodimio-hierro-boro (Nd-Fe-B), son costosos y dependen de materias primas de tierras raras, cuya cadena de suministro está geopolíticamente concentrada.</w:t>
      </w:r>
      <w:r>
        <w:rPr>
          <w:rFonts w:ascii="Google Sans Text" w:eastAsia="Google Sans Text" w:hAnsi="Google Sans Text" w:cs="Google Sans Text"/>
          <w:sz w:val="24"/>
          <w:szCs w:val="24"/>
          <w:vertAlign w:val="superscript"/>
        </w:rPr>
        <w:t>5</w:t>
      </w:r>
      <w:r>
        <w:rPr>
          <w:rFonts w:ascii="Google Sans Text" w:eastAsia="Google Sans Text" w:hAnsi="Google Sans Text" w:cs="Google Sans Text"/>
        </w:rPr>
        <w:t xml:space="preserve"> El coste del imán puede suponer hasta el 40% del coste total del dispositivo.</w:t>
      </w:r>
      <w:r>
        <w:rPr>
          <w:rFonts w:ascii="Google Sans Text" w:eastAsia="Google Sans Text" w:hAnsi="Google Sans Text" w:cs="Google Sans Text"/>
          <w:sz w:val="24"/>
          <w:szCs w:val="24"/>
          <w:vertAlign w:val="superscript"/>
        </w:rPr>
        <w:t>28</w:t>
      </w:r>
      <w:r>
        <w:rPr>
          <w:rFonts w:ascii="Google Sans Text" w:eastAsia="Google Sans Text" w:hAnsi="Google Sans Text" w:cs="Google Sans Text"/>
        </w:rPr>
        <w:t xml:space="preserve"> Del mismo modo, los materiales magnetocalóricos de alto rendimiento, como el gadolinio (Gd), son también metales de tierras raras caros. Aunque se están desarrollando alternativas más baratas, su producción a gran escala aún no está madura.</w:t>
      </w:r>
      <w:r>
        <w:rPr>
          <w:rFonts w:ascii="Google Sans Text" w:eastAsia="Google Sans Text" w:hAnsi="Google Sans Text" w:cs="Google Sans Text"/>
          <w:sz w:val="24"/>
          <w:szCs w:val="24"/>
          <w:vertAlign w:val="superscript"/>
        </w:rPr>
        <w:t>29</w:t>
      </w:r>
    </w:p>
    <w:p w:rsidR="00DB3014" w:rsidRDefault="00000000" w:rsidP="002E1313">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Baja Densidad de Potencia de Enfriamiento:</w:t>
      </w:r>
      <w:r>
        <w:rPr>
          <w:rFonts w:ascii="Google Sans Text" w:eastAsia="Google Sans Text" w:hAnsi="Google Sans Text" w:cs="Google Sans Text"/>
        </w:rPr>
        <w:t xml:space="preserve"> Los prototipos actuales operan a bajas frecuencias de ciclo (típicamente 1-3 Hz).</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xml:space="preserve"> Esto se debe a las limitaciones en la velocidad de transferencia de calor entre el MCM sólido y el fluido. Como resultado, la potencia de enfriamiento por unidad de volumen del refrigerador (densidad de potencia) es a menudo inferior a la de los sistemas de compresión de vapor, lo que los hace menos adecuados para aplicaciones que requieren una rápida eliminación de grandes cargas térmicas.</w:t>
      </w:r>
      <w:r>
        <w:rPr>
          <w:rFonts w:ascii="Google Sans Text" w:eastAsia="Google Sans Text" w:hAnsi="Google Sans Text" w:cs="Google Sans Text"/>
          <w:sz w:val="24"/>
          <w:szCs w:val="24"/>
          <w:vertAlign w:val="superscript"/>
        </w:rPr>
        <w:t>31</w:t>
      </w:r>
    </w:p>
    <w:p w:rsidR="00DB3014" w:rsidRDefault="00000000" w:rsidP="002E1313">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Pérdidas por Histéresis:</w:t>
      </w:r>
      <w:r>
        <w:rPr>
          <w:rFonts w:ascii="Google Sans Text" w:eastAsia="Google Sans Text" w:hAnsi="Google Sans Text" w:cs="Google Sans Text"/>
        </w:rPr>
        <w:t xml:space="preserve"> Los materiales con el mayor efecto magnetocalórico, que son los que experimentan una transición de fase de primer orden (FOMT), sufren de histéresis térmica y magnética. Esto significa que el ciclo de magnetización-desmagnetización no es perfectamente reversible; una parte de la energía se pierde en forma de calor en cada ciclo, lo que reduce la eficiencia general del sistema. Minimizar la histéresis es un área de investigación activa en la ciencia de materiales.</w:t>
      </w:r>
      <w:r>
        <w:rPr>
          <w:rFonts w:ascii="Google Sans Text" w:eastAsia="Google Sans Text" w:hAnsi="Google Sans Text" w:cs="Google Sans Text"/>
          <w:sz w:val="24"/>
          <w:szCs w:val="24"/>
          <w:vertAlign w:val="superscript"/>
        </w:rPr>
        <w:t>31</w:t>
      </w:r>
    </w:p>
    <w:p w:rsidR="00DB3014" w:rsidRDefault="00000000" w:rsidP="002E1313">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lastRenderedPageBreak/>
        <w:t>Necesidad de Apantallamiento Magnético:</w:t>
      </w:r>
      <w:r>
        <w:rPr>
          <w:rFonts w:ascii="Google Sans Text" w:eastAsia="Google Sans Text" w:hAnsi="Google Sans Text" w:cs="Google Sans Text"/>
        </w:rPr>
        <w:t xml:space="preserve"> Los potentes campos magnéticos generados por el sistema pueden interferir con dispositivos electrónicos cercanos, como marcapasos o tarjetas de crédito. Por lo tanto, se requiere un apantallamiento magnético eficaz para contener el campo dentro del dispositivo, lo que añade peso, volumen y coste al diseño final.</w:t>
      </w:r>
      <w:r>
        <w:rPr>
          <w:rFonts w:ascii="Google Sans Text" w:eastAsia="Google Sans Text" w:hAnsi="Google Sans Text" w:cs="Google Sans Text"/>
          <w:sz w:val="24"/>
          <w:szCs w:val="24"/>
          <w:vertAlign w:val="superscript"/>
        </w:rPr>
        <w:t>19</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dicotomía entre el rendimiento del material y la viabilidad del sistema es un tema central en el desarrollo de la refrigeración magnética. Los materiales con el mayor MCE (los FOMT) son precisamente los que presentan los mayores desafíos de ingeniería: histéresis, inestabilidad mecánica y degradación cíclica. Por el contrario, los materiales de segundo orden (SOMT), como el gadolinio, son más estables y no tienen histéresis, pero su MCE es intrínsecamente menor. Este dilema sugiere que la comercialización exitosa no provendrá de un único "material milagroso", sino de un enfoque de </w:t>
      </w:r>
      <w:proofErr w:type="spellStart"/>
      <w:r>
        <w:rPr>
          <w:rFonts w:ascii="Google Sans Text" w:eastAsia="Google Sans Text" w:hAnsi="Google Sans Text" w:cs="Google Sans Text"/>
        </w:rPr>
        <w:t>co</w:t>
      </w:r>
      <w:proofErr w:type="spellEnd"/>
      <w:r>
        <w:rPr>
          <w:rFonts w:ascii="Google Sans Text" w:eastAsia="Google Sans Text" w:hAnsi="Google Sans Text" w:cs="Google Sans Text"/>
        </w:rPr>
        <w:t>-diseño holístico. Este enfoque busca optimizar el sistema en su conjunto, posiblemente utilizando regeneradores en capas que combinan diferentes materiales o desarrollando nuevas clases de materiales, como las aleaciones de alta entropía, que buscan un equilibrio entre un rendimiento magnetocalórico robusto y propiedades mecánicas e ingenieriles superiores.</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2"/>
        <w:spacing w:before="0" w:line="275" w:lineRule="auto"/>
        <w:rPr>
          <w:rFonts w:ascii="Google Sans" w:eastAsia="Google Sans" w:hAnsi="Google Sans" w:cs="Google Sans"/>
        </w:rPr>
      </w:pPr>
      <w:r>
        <w:rPr>
          <w:rFonts w:ascii="Google Sans" w:eastAsia="Google Sans" w:hAnsi="Google Sans" w:cs="Google Sans"/>
        </w:rPr>
        <w:t>5. Componentes Tecnológicos Clave y Desafíos de Ingeniería</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El desarrollo de un refrigerador magnético comercialmente viable depende de la optimización de sus componentes clave y de la superación de importantes desafíos de ingeniería, especialmente en el ámbito de los materiales y el diseño de sistemas.</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5.1. Materiales Magnetocalóricos (</w:t>
      </w:r>
      <w:proofErr w:type="spellStart"/>
      <w:r>
        <w:rPr>
          <w:rFonts w:ascii="Google Sans" w:eastAsia="Google Sans" w:hAnsi="Google Sans" w:cs="Google Sans"/>
        </w:rPr>
        <w:t>MCMs</w:t>
      </w:r>
      <w:proofErr w:type="spellEnd"/>
      <w:r>
        <w:rPr>
          <w:rFonts w:ascii="Google Sans" w:eastAsia="Google Sans" w:hAnsi="Google Sans" w:cs="Google Sans"/>
        </w:rPr>
        <w:t>): El Corazón del Sistema</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material magnetocalórico es el componente activo que impulsa el ciclo de refrigeración. La búsqueda del MCM ideal es un campo de investigación multidisciplinar que abarca la física del estado sólido, la química y la ciencia de los materiales. Un material óptimo debe cumplir una serie de criterios estrictos: un gran cambio de entropía magnética (</w:t>
      </w: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 y de temperatura adiabática (</w:t>
      </w: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 cerca de la temperatura de funcionamiento deseada, una histéresis térmica y magnética mínima, una alta conductividad térmica para una transferencia de calor eficiente, una excelente estabilidad mecánica y química a lo largo de millones de ciclos, y estar compuesto por elementos abundantes, no tóxicos y de bajo coste.</w:t>
      </w:r>
      <w:r>
        <w:rPr>
          <w:rFonts w:ascii="Google Sans Text" w:eastAsia="Google Sans Text" w:hAnsi="Google Sans Text" w:cs="Google Sans Text"/>
          <w:sz w:val="24"/>
          <w:szCs w:val="24"/>
          <w:vertAlign w:val="superscript"/>
        </w:rPr>
        <w:t>4</w:t>
      </w:r>
    </w:p>
    <w:p w:rsidR="00DB3014" w:rsidRDefault="00DB3014" w:rsidP="002E1313">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p>
    <w:p w:rsidR="00DB3014" w:rsidRDefault="00000000" w:rsidP="002E1313">
      <w:pPr>
        <w:pStyle w:val="Ttulo4"/>
        <w:spacing w:before="0" w:line="275" w:lineRule="auto"/>
        <w:jc w:val="both"/>
        <w:rPr>
          <w:rFonts w:ascii="Google Sans" w:eastAsia="Google Sans" w:hAnsi="Google Sans" w:cs="Google Sans"/>
        </w:rPr>
      </w:pPr>
      <w:r>
        <w:rPr>
          <w:rFonts w:ascii="Google Sans" w:eastAsia="Google Sans" w:hAnsi="Google Sans" w:cs="Google Sans"/>
        </w:rPr>
        <w:t>Análisis de Familias de Materiales</w:t>
      </w:r>
    </w:p>
    <w:p w:rsidR="00DB3014" w:rsidRDefault="00DB3014" w:rsidP="002E1313">
      <w:pPr>
        <w:pBdr>
          <w:top w:val="nil"/>
          <w:left w:val="nil"/>
          <w:bottom w:val="nil"/>
          <w:right w:val="nil"/>
          <w:between w:val="nil"/>
        </w:pBdr>
        <w:spacing w:line="275" w:lineRule="auto"/>
        <w:jc w:val="both"/>
        <w:rPr>
          <w:rFonts w:ascii="Google Sans" w:eastAsia="Google Sans" w:hAnsi="Google Sans" w:cs="Google Sans"/>
        </w:rPr>
      </w:pPr>
    </w:p>
    <w:p w:rsidR="00DB3014" w:rsidRDefault="00000000" w:rsidP="002E1313">
      <w:pPr>
        <w:numPr>
          <w:ilvl w:val="0"/>
          <w:numId w:val="6"/>
        </w:numPr>
        <w:pBdr>
          <w:top w:val="nil"/>
          <w:left w:val="nil"/>
          <w:bottom w:val="nil"/>
          <w:right w:val="nil"/>
          <w:between w:val="nil"/>
        </w:pBdr>
        <w:spacing w:line="275" w:lineRule="auto"/>
        <w:jc w:val="both"/>
      </w:pPr>
      <w:r>
        <w:rPr>
          <w:rFonts w:ascii="Google Sans Text" w:eastAsia="Google Sans Text" w:hAnsi="Google Sans Text" w:cs="Google Sans Text"/>
          <w:b/>
        </w:rPr>
        <w:lastRenderedPageBreak/>
        <w:t>Gadolinio (Gd) y sus Aleaciones:</w:t>
      </w:r>
      <w:r>
        <w:rPr>
          <w:rFonts w:ascii="Google Sans Text" w:eastAsia="Google Sans Text" w:hAnsi="Google Sans Text" w:cs="Google Sans Text"/>
        </w:rPr>
        <w:t xml:space="preserve"> El gadolinio puro es el material de referencia para la refrigeración magnética a temperatura ambiente (su temperatura de Curie es de aproximadamente 294 K, o 21 °C). Exhibe un gran MCE y, crucialmente, su transición de fase es de segundo orden, lo que significa que no presenta histéresis magnética ni térmica, garantizando un ciclo perfectamente reversible.</w:t>
      </w:r>
      <w:r>
        <w:rPr>
          <w:rFonts w:ascii="Google Sans Text" w:eastAsia="Google Sans Text" w:hAnsi="Google Sans Text" w:cs="Google Sans Text"/>
          <w:sz w:val="24"/>
          <w:szCs w:val="24"/>
          <w:vertAlign w:val="superscript"/>
        </w:rPr>
        <w:t>11</w:t>
      </w:r>
      <w:r>
        <w:rPr>
          <w:rFonts w:ascii="Google Sans Text" w:eastAsia="Google Sans Text" w:hAnsi="Google Sans Text" w:cs="Google Sans Text"/>
        </w:rPr>
        <w:t xml:space="preserve"> Sin embargo, su principal desventaja es su elevado coste y su clasificación como metal de tierra rara crítico, lo que plantea problemas de disponibilidad y volatilidad de precios, limitando su uso en aplicaciones de mercado masivo.</w:t>
      </w:r>
      <w:r>
        <w:rPr>
          <w:rFonts w:ascii="Google Sans Text" w:eastAsia="Google Sans Text" w:hAnsi="Google Sans Text" w:cs="Google Sans Text"/>
          <w:sz w:val="24"/>
          <w:szCs w:val="24"/>
          <w:vertAlign w:val="superscript"/>
        </w:rPr>
        <w:t>5</w:t>
      </w:r>
    </w:p>
    <w:p w:rsidR="00DB3014" w:rsidRDefault="00000000" w:rsidP="002E1313">
      <w:pPr>
        <w:numPr>
          <w:ilvl w:val="0"/>
          <w:numId w:val="6"/>
        </w:numPr>
        <w:pBdr>
          <w:top w:val="nil"/>
          <w:left w:val="nil"/>
          <w:bottom w:val="nil"/>
          <w:right w:val="nil"/>
          <w:between w:val="nil"/>
        </w:pBdr>
        <w:spacing w:line="275" w:lineRule="auto"/>
        <w:jc w:val="both"/>
      </w:pPr>
      <w:r>
        <w:rPr>
          <w:rFonts w:ascii="Google Sans Text" w:eastAsia="Google Sans Text" w:hAnsi="Google Sans Text" w:cs="Google Sans Text"/>
          <w:b/>
        </w:rPr>
        <w:t>Aleaciones La-Fe-Si:</w:t>
      </w:r>
      <w:r>
        <w:rPr>
          <w:rFonts w:ascii="Google Sans Text" w:eastAsia="Google Sans Text" w:hAnsi="Google Sans Text" w:cs="Google Sans Text"/>
        </w:rPr>
        <w:t xml:space="preserve"> La familia de compuestos La(</w:t>
      </w:r>
      <w:proofErr w:type="spellStart"/>
      <w:r>
        <w:rPr>
          <w:rFonts w:ascii="Google Sans Text" w:eastAsia="Google Sans Text" w:hAnsi="Google Sans Text" w:cs="Google Sans Text"/>
        </w:rPr>
        <w:t>Fe,Si</w:t>
      </w:r>
      <w:proofErr w:type="spellEnd"/>
      <w:r>
        <w:rPr>
          <w:rFonts w:ascii="Google Sans Text" w:eastAsia="Google Sans Text" w:hAnsi="Google Sans Text" w:cs="Google Sans Text"/>
        </w:rPr>
        <w:t xml:space="preserve">)13​ se considera la alternativa más prometedora al gadolinio. Estos materiales presentan un "efecto magnetocalórico gigante" asociado a una transición de fase </w:t>
      </w:r>
      <w:proofErr w:type="spellStart"/>
      <w:r>
        <w:rPr>
          <w:rFonts w:ascii="Google Sans Text" w:eastAsia="Google Sans Text" w:hAnsi="Google Sans Text" w:cs="Google Sans Text"/>
        </w:rPr>
        <w:t>magnetoestructural</w:t>
      </w:r>
      <w:proofErr w:type="spellEnd"/>
      <w:r>
        <w:rPr>
          <w:rFonts w:ascii="Google Sans Text" w:eastAsia="Google Sans Text" w:hAnsi="Google Sans Text" w:cs="Google Sans Text"/>
        </w:rPr>
        <w:t xml:space="preserve"> de primer orden, lo que significa que el cambio de estado magnético va acompañado de un cambio en el volumen de la celda unitaria.</w:t>
      </w:r>
      <w:r>
        <w:rPr>
          <w:rFonts w:ascii="Google Sans Text" w:eastAsia="Google Sans Text" w:hAnsi="Google Sans Text" w:cs="Google Sans Text"/>
          <w:sz w:val="24"/>
          <w:szCs w:val="24"/>
          <w:vertAlign w:val="superscript"/>
        </w:rPr>
        <w:t>9</w:t>
      </w:r>
      <w:r>
        <w:rPr>
          <w:rFonts w:ascii="Google Sans Text" w:eastAsia="Google Sans Text" w:hAnsi="Google Sans Text" w:cs="Google Sans Text"/>
        </w:rPr>
        <w:t xml:space="preserve"> Sus ventajas son un MCE superior al del Gd, un coste mucho menor debido a que están compuestos principalmente de hierro, y la posibilidad de ajustar su temperatura de Curie a la temperatura ambiente mediante la hidrogenación o la sustitución parcial de Fe por Co.</w:t>
      </w:r>
      <w:r>
        <w:rPr>
          <w:rFonts w:ascii="Google Sans Text" w:eastAsia="Google Sans Text" w:hAnsi="Google Sans Text" w:cs="Google Sans Text"/>
          <w:sz w:val="24"/>
          <w:szCs w:val="24"/>
          <w:vertAlign w:val="superscript"/>
        </w:rPr>
        <w:t>9</w:t>
      </w:r>
      <w:r>
        <w:rPr>
          <w:rFonts w:ascii="Google Sans Text" w:eastAsia="Google Sans Text" w:hAnsi="Google Sans Text" w:cs="Google Sans Text"/>
        </w:rPr>
        <w:t xml:space="preserve"> No obstante, esta familia de materiales se enfrenta a desafíos críticos:</w:t>
      </w:r>
    </w:p>
    <w:p w:rsidR="00DB3014" w:rsidRDefault="00000000" w:rsidP="002E1313">
      <w:pPr>
        <w:numPr>
          <w:ilvl w:val="1"/>
          <w:numId w:val="7"/>
        </w:numPr>
        <w:pBdr>
          <w:top w:val="nil"/>
          <w:left w:val="nil"/>
          <w:bottom w:val="nil"/>
          <w:right w:val="nil"/>
          <w:between w:val="nil"/>
        </w:pBdr>
        <w:spacing w:line="275" w:lineRule="auto"/>
        <w:jc w:val="both"/>
      </w:pPr>
      <w:r>
        <w:rPr>
          <w:rFonts w:ascii="Google Sans Text" w:eastAsia="Google Sans Text" w:hAnsi="Google Sans Text" w:cs="Google Sans Text"/>
          <w:b/>
        </w:rPr>
        <w:t>Fabricación y Escalabilidad:</w:t>
      </w:r>
      <w:r>
        <w:rPr>
          <w:rFonts w:ascii="Google Sans Text" w:eastAsia="Google Sans Text" w:hAnsi="Google Sans Text" w:cs="Google Sans Text"/>
        </w:rPr>
        <w:t xml:space="preserve"> La síntesis de la fase cúbica </w:t>
      </w:r>
      <w:proofErr w:type="spellStart"/>
      <w:r>
        <w:rPr>
          <w:rFonts w:ascii="Google Sans Text" w:eastAsia="Google Sans Text" w:hAnsi="Google Sans Text" w:cs="Google Sans Text"/>
        </w:rPr>
        <w:t>NaZn</w:t>
      </w:r>
      <w:proofErr w:type="spellEnd"/>
      <w:r>
        <w:rPr>
          <w:rFonts w:ascii="Google Sans Text" w:eastAsia="Google Sans Text" w:hAnsi="Google Sans Text" w:cs="Google Sans Text"/>
        </w:rPr>
        <w:t>$_{13}$ (1:13), responsable del gran MCE, es compleja. Los métodos tradicionales, como la fusión por arco, requieren largos y costosos tratamientos de recocido (de días a semanas) para obtener una fase pura.</w:t>
      </w:r>
      <w:r>
        <w:rPr>
          <w:rFonts w:ascii="Google Sans Text" w:eastAsia="Google Sans Text" w:hAnsi="Google Sans Text" w:cs="Google Sans Text"/>
          <w:sz w:val="24"/>
          <w:szCs w:val="24"/>
          <w:vertAlign w:val="superscript"/>
        </w:rPr>
        <w:t>9</w:t>
      </w:r>
      <w:r>
        <w:rPr>
          <w:rFonts w:ascii="Google Sans Text" w:eastAsia="Google Sans Text" w:hAnsi="Google Sans Text" w:cs="Google Sans Text"/>
        </w:rPr>
        <w:t xml:space="preserve"> Se están investigando técnicas de solidificación rápida como el</w:t>
      </w:r>
      <w:r>
        <w:rPr>
          <w:color w:val="000000"/>
        </w:rPr>
        <w:br/>
      </w:r>
      <w:proofErr w:type="spellStart"/>
      <w:r>
        <w:rPr>
          <w:rFonts w:ascii="Google Sans Text" w:eastAsia="Google Sans Text" w:hAnsi="Google Sans Text" w:cs="Google Sans Text"/>
          <w:i/>
        </w:rPr>
        <w:t>melt</w:t>
      </w:r>
      <w:proofErr w:type="spellEnd"/>
      <w:r>
        <w:rPr>
          <w:rFonts w:ascii="Google Sans Text" w:eastAsia="Google Sans Text" w:hAnsi="Google Sans Text" w:cs="Google Sans Text"/>
          <w:i/>
        </w:rPr>
        <w:t xml:space="preserve"> spinning</w:t>
      </w:r>
      <w:r>
        <w:rPr>
          <w:rFonts w:ascii="Google Sans Text" w:eastAsia="Google Sans Text" w:hAnsi="Google Sans Text" w:cs="Google Sans Text"/>
        </w:rPr>
        <w:t xml:space="preserve"> (hilado por fusión) para reducir drásticamente el tiempo de recocido a horas o minutos. La fabricación aditiva (impresión 3D) también se explora para crear geometrías de regenerador complejas y optimizadas, aunque la escalabilidad y la eliminación de defectos siguen siendo un reto.</w:t>
      </w:r>
      <w:r>
        <w:rPr>
          <w:rFonts w:ascii="Google Sans Text" w:eastAsia="Google Sans Text" w:hAnsi="Google Sans Text" w:cs="Google Sans Text"/>
          <w:sz w:val="24"/>
          <w:szCs w:val="24"/>
          <w:vertAlign w:val="superscript"/>
        </w:rPr>
        <w:t>39</w:t>
      </w:r>
    </w:p>
    <w:p w:rsidR="00DB3014" w:rsidRDefault="00000000" w:rsidP="002E1313">
      <w:pPr>
        <w:numPr>
          <w:ilvl w:val="1"/>
          <w:numId w:val="7"/>
        </w:numPr>
        <w:pBdr>
          <w:top w:val="nil"/>
          <w:left w:val="nil"/>
          <w:bottom w:val="nil"/>
          <w:right w:val="nil"/>
          <w:between w:val="nil"/>
        </w:pBdr>
        <w:spacing w:line="275" w:lineRule="auto"/>
        <w:jc w:val="both"/>
      </w:pPr>
      <w:r>
        <w:rPr>
          <w:rFonts w:ascii="Google Sans Text" w:eastAsia="Google Sans Text" w:hAnsi="Google Sans Text" w:cs="Google Sans Text"/>
          <w:b/>
        </w:rPr>
        <w:t>Estabilidad a Largo Plazo:</w:t>
      </w:r>
      <w:r>
        <w:rPr>
          <w:rFonts w:ascii="Google Sans Text" w:eastAsia="Google Sans Text" w:hAnsi="Google Sans Text" w:cs="Google Sans Text"/>
        </w:rPr>
        <w:t xml:space="preserve"> Las aleaciones hidrogenadas, aunque eficaces para ajustar la temperatura de Curie, pueden ser inestables. Con el tiempo y el ciclado térmico, el hidrógeno puede desprenderse o redistribuirse de forma no homogénea, lo que degrada el rendimiento del material.</w:t>
      </w:r>
      <w:r>
        <w:rPr>
          <w:rFonts w:ascii="Google Sans Text" w:eastAsia="Google Sans Text" w:hAnsi="Google Sans Text" w:cs="Google Sans Text"/>
          <w:sz w:val="24"/>
          <w:szCs w:val="24"/>
          <w:vertAlign w:val="superscript"/>
        </w:rPr>
        <w:t>41</w:t>
      </w:r>
    </w:p>
    <w:p w:rsidR="00DB3014" w:rsidRDefault="00000000" w:rsidP="002E1313">
      <w:pPr>
        <w:numPr>
          <w:ilvl w:val="1"/>
          <w:numId w:val="7"/>
        </w:numPr>
        <w:pBdr>
          <w:top w:val="nil"/>
          <w:left w:val="nil"/>
          <w:bottom w:val="nil"/>
          <w:right w:val="nil"/>
          <w:between w:val="nil"/>
        </w:pBdr>
        <w:spacing w:line="275" w:lineRule="auto"/>
        <w:jc w:val="both"/>
      </w:pPr>
      <w:r>
        <w:rPr>
          <w:rFonts w:ascii="Google Sans Text" w:eastAsia="Google Sans Text" w:hAnsi="Google Sans Text" w:cs="Google Sans Text"/>
          <w:b/>
        </w:rPr>
        <w:t>Propiedades Mecánicas y Corrosión:</w:t>
      </w:r>
      <w:r>
        <w:rPr>
          <w:rFonts w:ascii="Google Sans Text" w:eastAsia="Google Sans Text" w:hAnsi="Google Sans Text" w:cs="Google Sans Text"/>
        </w:rPr>
        <w:t xml:space="preserve"> La transición de fase de primer orden implica un cambio de volumen abrupto, lo que induce tensiones internas que pueden llevar a la pulverización del material tras un número relativamente bajo de ciclos (fatiga mecánica).</w:t>
      </w:r>
      <w:r>
        <w:rPr>
          <w:rFonts w:ascii="Google Sans Text" w:eastAsia="Google Sans Text" w:hAnsi="Google Sans Text" w:cs="Google Sans Text"/>
          <w:sz w:val="24"/>
          <w:szCs w:val="24"/>
          <w:vertAlign w:val="superscript"/>
        </w:rPr>
        <w:t>34</w:t>
      </w:r>
      <w:r>
        <w:rPr>
          <w:rFonts w:ascii="Google Sans Text" w:eastAsia="Google Sans Text" w:hAnsi="Google Sans Text" w:cs="Google Sans Text"/>
        </w:rPr>
        <w:t xml:space="preserve"> Además, al ser aleaciones con alto contenido en hierro y lantano (un elemento altamente </w:t>
      </w:r>
      <w:proofErr w:type="spellStart"/>
      <w:r>
        <w:rPr>
          <w:rFonts w:ascii="Google Sans Text" w:eastAsia="Google Sans Text" w:hAnsi="Google Sans Text" w:cs="Google Sans Text"/>
        </w:rPr>
        <w:t>oxofílico</w:t>
      </w:r>
      <w:proofErr w:type="spellEnd"/>
      <w:r>
        <w:rPr>
          <w:rFonts w:ascii="Google Sans Text" w:eastAsia="Google Sans Text" w:hAnsi="Google Sans Text" w:cs="Google Sans Text"/>
        </w:rPr>
        <w:t>), son muy susceptibles a la corrosión cuando se utilizan con fluidos de transferencia de calor acuosos. Esto exige el desarrollo de recubrimientos protectores eficaces o el uso de inhibidores de corrosión en el fluido.</w:t>
      </w:r>
      <w:r>
        <w:rPr>
          <w:rFonts w:ascii="Google Sans Text" w:eastAsia="Google Sans Text" w:hAnsi="Google Sans Text" w:cs="Google Sans Text"/>
          <w:sz w:val="24"/>
          <w:szCs w:val="24"/>
          <w:vertAlign w:val="superscript"/>
        </w:rPr>
        <w:t>44</w:t>
      </w:r>
    </w:p>
    <w:p w:rsidR="00DB3014" w:rsidRDefault="00000000" w:rsidP="002E1313">
      <w:pPr>
        <w:numPr>
          <w:ilvl w:val="0"/>
          <w:numId w:val="6"/>
        </w:numPr>
        <w:pBdr>
          <w:top w:val="nil"/>
          <w:left w:val="nil"/>
          <w:bottom w:val="nil"/>
          <w:right w:val="nil"/>
          <w:between w:val="nil"/>
        </w:pBdr>
        <w:spacing w:line="275" w:lineRule="auto"/>
        <w:jc w:val="both"/>
      </w:pPr>
      <w:r>
        <w:rPr>
          <w:rFonts w:ascii="Google Sans Text" w:eastAsia="Google Sans Text" w:hAnsi="Google Sans Text" w:cs="Google Sans Text"/>
          <w:b/>
        </w:rPr>
        <w:t xml:space="preserve">Aleaciones de </w:t>
      </w:r>
      <w:proofErr w:type="spellStart"/>
      <w:r>
        <w:rPr>
          <w:rFonts w:ascii="Google Sans Text" w:eastAsia="Google Sans Text" w:hAnsi="Google Sans Text" w:cs="Google Sans Text"/>
          <w:b/>
        </w:rPr>
        <w:t>Heusler</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Las aleaciones de </w:t>
      </w:r>
      <w:proofErr w:type="spellStart"/>
      <w:r>
        <w:rPr>
          <w:rFonts w:ascii="Google Sans Text" w:eastAsia="Google Sans Text" w:hAnsi="Google Sans Text" w:cs="Google Sans Text"/>
        </w:rPr>
        <w:t>Heusler</w:t>
      </w:r>
      <w:proofErr w:type="spellEnd"/>
      <w:r>
        <w:rPr>
          <w:rFonts w:ascii="Google Sans Text" w:eastAsia="Google Sans Text" w:hAnsi="Google Sans Text" w:cs="Google Sans Text"/>
        </w:rPr>
        <w:t xml:space="preserve"> (por ejemplo, Ni-Mn-X, donde X = In, Sn, Ga) son una clase de compuestos </w:t>
      </w:r>
      <w:proofErr w:type="spellStart"/>
      <w:r>
        <w:rPr>
          <w:rFonts w:ascii="Google Sans Text" w:eastAsia="Google Sans Text" w:hAnsi="Google Sans Text" w:cs="Google Sans Text"/>
        </w:rPr>
        <w:t>intermetálicos</w:t>
      </w:r>
      <w:proofErr w:type="spellEnd"/>
      <w:r>
        <w:rPr>
          <w:rFonts w:ascii="Google Sans Text" w:eastAsia="Google Sans Text" w:hAnsi="Google Sans Text" w:cs="Google Sans Text"/>
        </w:rPr>
        <w:t xml:space="preserve"> que también exhiben un MCE </w:t>
      </w:r>
      <w:r>
        <w:rPr>
          <w:rFonts w:ascii="Google Sans Text" w:eastAsia="Google Sans Text" w:hAnsi="Google Sans Text" w:cs="Google Sans Text"/>
        </w:rPr>
        <w:lastRenderedPageBreak/>
        <w:t>significativo, a menudo acoplado a una transición de fase martensítica.</w:t>
      </w:r>
      <w:r>
        <w:rPr>
          <w:rFonts w:ascii="Google Sans Text" w:eastAsia="Google Sans Text" w:hAnsi="Google Sans Text" w:cs="Google Sans Text"/>
          <w:sz w:val="24"/>
          <w:szCs w:val="24"/>
          <w:vertAlign w:val="superscript"/>
        </w:rPr>
        <w:t>47</w:t>
      </w:r>
      <w:r>
        <w:rPr>
          <w:rFonts w:ascii="Google Sans Text" w:eastAsia="Google Sans Text" w:hAnsi="Google Sans Text" w:cs="Google Sans Text"/>
        </w:rPr>
        <w:t xml:space="preserve"> Su principal ventaja potencial reside en sus propiedades mecánicas superiores en comparación con las frágiles aleaciones La-Fe-Si.</w:t>
      </w:r>
      <w:r>
        <w:rPr>
          <w:rFonts w:ascii="Google Sans Text" w:eastAsia="Google Sans Text" w:hAnsi="Google Sans Text" w:cs="Google Sans Text"/>
          <w:sz w:val="24"/>
          <w:szCs w:val="24"/>
          <w:vertAlign w:val="superscript"/>
        </w:rPr>
        <w:t>49</w:t>
      </w:r>
      <w:r>
        <w:rPr>
          <w:rFonts w:ascii="Google Sans Text" w:eastAsia="Google Sans Text" w:hAnsi="Google Sans Text" w:cs="Google Sans Text"/>
        </w:rPr>
        <w:t xml:space="preserve"> Sin embargo, a menudo presentan una gran histéresis térmica y magnética, lo que supone una pérdida de energía significativa y es un obstáculo importante para su aplicación práctica.</w:t>
      </w:r>
      <w:r>
        <w:rPr>
          <w:rFonts w:ascii="Google Sans Text" w:eastAsia="Google Sans Text" w:hAnsi="Google Sans Text" w:cs="Google Sans Text"/>
          <w:sz w:val="24"/>
          <w:szCs w:val="24"/>
          <w:vertAlign w:val="superscript"/>
        </w:rPr>
        <w:t>47</w:t>
      </w:r>
      <w:r>
        <w:rPr>
          <w:rFonts w:ascii="Google Sans Text" w:eastAsia="Google Sans Text" w:hAnsi="Google Sans Text" w:cs="Google Sans Text"/>
        </w:rPr>
        <w:t xml:space="preserve"> La investigación actual se centra en la modificación de su composición para reducir esta histéresis.</w:t>
      </w:r>
    </w:p>
    <w:p w:rsidR="00DB3014" w:rsidRDefault="00000000" w:rsidP="002E1313">
      <w:pPr>
        <w:numPr>
          <w:ilvl w:val="0"/>
          <w:numId w:val="6"/>
        </w:numPr>
        <w:pBdr>
          <w:top w:val="nil"/>
          <w:left w:val="nil"/>
          <w:bottom w:val="nil"/>
          <w:right w:val="nil"/>
          <w:between w:val="nil"/>
        </w:pBdr>
        <w:spacing w:line="275" w:lineRule="auto"/>
        <w:jc w:val="both"/>
      </w:pPr>
      <w:r>
        <w:rPr>
          <w:rFonts w:ascii="Google Sans Text" w:eastAsia="Google Sans Text" w:hAnsi="Google Sans Text" w:cs="Google Sans Text"/>
          <w:b/>
        </w:rPr>
        <w:t>Aleaciones de Alta Entropía (</w:t>
      </w:r>
      <w:proofErr w:type="spellStart"/>
      <w:r>
        <w:rPr>
          <w:rFonts w:ascii="Google Sans Text" w:eastAsia="Google Sans Text" w:hAnsi="Google Sans Text" w:cs="Google Sans Text"/>
          <w:b/>
        </w:rPr>
        <w:t>HEAs</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Este es un campo emergente en la ciencia de materiales que se aleja del diseño de aleaciones tradicionales basadas en uno o dos elementos principales. Las </w:t>
      </w:r>
      <w:proofErr w:type="spellStart"/>
      <w:r>
        <w:rPr>
          <w:rFonts w:ascii="Google Sans Text" w:eastAsia="Google Sans Text" w:hAnsi="Google Sans Text" w:cs="Google Sans Text"/>
        </w:rPr>
        <w:t>HEAs</w:t>
      </w:r>
      <w:proofErr w:type="spellEnd"/>
      <w:r>
        <w:rPr>
          <w:rFonts w:ascii="Google Sans Text" w:eastAsia="Google Sans Text" w:hAnsi="Google Sans Text" w:cs="Google Sans Text"/>
        </w:rPr>
        <w:t xml:space="preserve"> se componen de cinco o más elementos en concentraciones casi </w:t>
      </w:r>
      <w:proofErr w:type="spellStart"/>
      <w:r>
        <w:rPr>
          <w:rFonts w:ascii="Google Sans Text" w:eastAsia="Google Sans Text" w:hAnsi="Google Sans Text" w:cs="Google Sans Text"/>
        </w:rPr>
        <w:t>equimolares</w:t>
      </w:r>
      <w:proofErr w:type="spellEnd"/>
      <w:r>
        <w:rPr>
          <w:rFonts w:ascii="Google Sans Text" w:eastAsia="Google Sans Text" w:hAnsi="Google Sans Text" w:cs="Google Sans Text"/>
        </w:rPr>
        <w:t>, lo que maximiza la entropía configuracional y puede estabilizar fases de solución sólida simples.</w:t>
      </w:r>
      <w:r>
        <w:rPr>
          <w:rFonts w:ascii="Google Sans Text" w:eastAsia="Google Sans Text" w:hAnsi="Google Sans Text" w:cs="Google Sans Text"/>
          <w:sz w:val="24"/>
          <w:szCs w:val="24"/>
          <w:vertAlign w:val="superscript"/>
        </w:rPr>
        <w:t>35</w:t>
      </w:r>
      <w:r>
        <w:rPr>
          <w:rFonts w:ascii="Google Sans Text" w:eastAsia="Google Sans Text" w:hAnsi="Google Sans Text" w:cs="Google Sans Text"/>
        </w:rPr>
        <w:t xml:space="preserve"> La hipótesis es que estas aleaciones podrían ofrecer una combinación única de propiedades funcionales (MCE) y mecánicas superiores (ductilidad, resistencia a la fatiga).</w:t>
      </w:r>
      <w:r>
        <w:rPr>
          <w:rFonts w:ascii="Google Sans Text" w:eastAsia="Google Sans Text" w:hAnsi="Google Sans Text" w:cs="Google Sans Text"/>
          <w:sz w:val="24"/>
          <w:szCs w:val="24"/>
          <w:vertAlign w:val="superscript"/>
        </w:rPr>
        <w:t>53</w:t>
      </w:r>
      <w:r>
        <w:rPr>
          <w:rFonts w:ascii="Google Sans Text" w:eastAsia="Google Sans Text" w:hAnsi="Google Sans Text" w:cs="Google Sans Text"/>
        </w:rPr>
        <w:t xml:space="preserve"> Actualmente, el MCE de la mayoría de las </w:t>
      </w:r>
      <w:proofErr w:type="spellStart"/>
      <w:r>
        <w:rPr>
          <w:rFonts w:ascii="Google Sans Text" w:eastAsia="Google Sans Text" w:hAnsi="Google Sans Text" w:cs="Google Sans Text"/>
        </w:rPr>
        <w:t>HEAs</w:t>
      </w:r>
      <w:proofErr w:type="spellEnd"/>
      <w:r>
        <w:rPr>
          <w:rFonts w:ascii="Google Sans Text" w:eastAsia="Google Sans Text" w:hAnsi="Google Sans Text" w:cs="Google Sans Text"/>
        </w:rPr>
        <w:t xml:space="preserve"> investigadas es modesto en comparación con los materiales de referencia, pero el vasto espacio composicional ofrece un enorme potencial para el descubrimiento de nuevos materiales de alto rendimiento.</w:t>
      </w:r>
      <w:r>
        <w:rPr>
          <w:rFonts w:ascii="Google Sans Text" w:eastAsia="Google Sans Text" w:hAnsi="Google Sans Text" w:cs="Google Sans Text"/>
          <w:sz w:val="24"/>
          <w:szCs w:val="24"/>
          <w:vertAlign w:val="superscript"/>
        </w:rPr>
        <w:t>54</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DB3014">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Familia de Material</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Tipo de Transición</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ΔSm</w:t>
            </w:r>
            <w:proofErr w:type="spellEnd"/>
            <w:r>
              <w:rPr>
                <w:rFonts w:ascii="Google Sans Text" w:eastAsia="Google Sans Text" w:hAnsi="Google Sans Text" w:cs="Google Sans Text"/>
              </w:rPr>
              <w:t>​ Típico (J/</w:t>
            </w:r>
            <w:proofErr w:type="spellStart"/>
            <w:r>
              <w:rPr>
                <w:rFonts w:ascii="Google Sans Text" w:eastAsia="Google Sans Text" w:hAnsi="Google Sans Text" w:cs="Google Sans Text"/>
              </w:rPr>
              <w:t>kg·K</w:t>
            </w:r>
            <w:proofErr w:type="spellEnd"/>
            <w:r>
              <w:rPr>
                <w:rFonts w:ascii="Google Sans Text" w:eastAsia="Google Sans Text" w:hAnsi="Google Sans Text" w:cs="Google Sans Text"/>
              </w:rPr>
              <w: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ΔTad</w:t>
            </w:r>
            <w:proofErr w:type="spellEnd"/>
            <w:r>
              <w:rPr>
                <w:rFonts w:ascii="Google Sans Text" w:eastAsia="Google Sans Text" w:hAnsi="Google Sans Text" w:cs="Google Sans Text"/>
              </w:rPr>
              <w:t>​ Típico (K)</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TC​ (K)</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Coste Relativo</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Estabilidad Mecánica</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Estabilidad Química</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TRL</w:t>
            </w:r>
          </w:p>
        </w:tc>
      </w:tr>
      <w:tr w:rsidR="00DB3014">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Gadolinio (Gd)</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2º orden</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 (para ΔH=5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~3-4 (para ΔH=1.5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~294</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Muy Alto</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Buena</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Moderada</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Alto</w:t>
            </w:r>
          </w:p>
        </w:tc>
      </w:tr>
      <w:tr w:rsidR="00DB3014">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La(</w:t>
            </w:r>
            <w:proofErr w:type="spellStart"/>
            <w:r>
              <w:rPr>
                <w:rFonts w:ascii="Google Sans Text" w:eastAsia="Google Sans Text" w:hAnsi="Google Sans Text" w:cs="Google Sans Text"/>
                <w:b/>
              </w:rPr>
              <w:t>Fe,Si</w:t>
            </w:r>
            <w:proofErr w:type="spellEnd"/>
            <w:r>
              <w:rPr>
                <w:rFonts w:ascii="Google Sans Text" w:eastAsia="Google Sans Text" w:hAnsi="Google Sans Text" w:cs="Google Sans Text"/>
                <w:b/>
              </w:rPr>
              <w:t>)13​</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1er orden</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&gt;20 (para ΔH=5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~5-8 (para ΔH=2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190-330 (ajustable)</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Bajo</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Pobre</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Pobre</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Medio</w:t>
            </w:r>
          </w:p>
        </w:tc>
      </w:tr>
      <w:tr w:rsidR="00DB3014">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 xml:space="preserve">Aleaciones de </w:t>
            </w:r>
            <w:proofErr w:type="spellStart"/>
            <w:r>
              <w:rPr>
                <w:rFonts w:ascii="Google Sans Text" w:eastAsia="Google Sans Text" w:hAnsi="Google Sans Text" w:cs="Google Sans Text"/>
                <w:b/>
              </w:rPr>
              <w:t>Heusler</w:t>
            </w:r>
            <w:proofErr w:type="spellEnd"/>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1er orden</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5-20 (para ΔH=5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~2-6 (para ΔH=2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250-350 (ajustable)</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Medio</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Moderada-Buena</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Buena</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Bajo</w:t>
            </w:r>
          </w:p>
        </w:tc>
      </w:tr>
      <w:tr w:rsidR="00DB3014">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Aleaciones de Alta Entropía</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2º orden</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&lt;5 (para ΔH=5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~1-2 (para ΔH=2 T)</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Variable</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Medio-Alto</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Excelente</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Excelente</w:t>
            </w:r>
          </w:p>
        </w:tc>
        <w:tc>
          <w:tcPr>
            <w:tcW w:w="10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Muy Bajo</w:t>
            </w:r>
          </w:p>
        </w:tc>
      </w:tr>
    </w:tbl>
    <w:p w:rsidR="00DB3014" w:rsidRDefault="00000000">
      <w:pPr>
        <w:pBdr>
          <w:top w:val="nil"/>
          <w:left w:val="nil"/>
          <w:bottom w:val="nil"/>
          <w:right w:val="nil"/>
          <w:between w:val="nil"/>
        </w:pBdr>
        <w:spacing w:before="480" w:line="275" w:lineRule="auto"/>
        <w:rPr>
          <w:rFonts w:ascii="Google Sans Text" w:eastAsia="Google Sans Text" w:hAnsi="Google Sans Text" w:cs="Google Sans Text"/>
          <w:i/>
        </w:rPr>
      </w:pPr>
      <w:r>
        <w:rPr>
          <w:rFonts w:ascii="Google Sans Text" w:eastAsia="Google Sans Text" w:hAnsi="Google Sans Text" w:cs="Google Sans Text"/>
          <w:i/>
        </w:rPr>
        <w:t xml:space="preserve">Tabla 1: Comparativa de propiedades de las principales familias de materiales magnetocalóricos. Los valores de </w:t>
      </w:r>
      <w:proofErr w:type="spellStart"/>
      <w:r>
        <w:rPr>
          <w:rFonts w:ascii="Google Sans Text" w:eastAsia="Google Sans Text" w:hAnsi="Google Sans Text" w:cs="Google Sans Text"/>
          <w:i/>
        </w:rPr>
        <w:t>ΔSm</w:t>
      </w:r>
      <w:proofErr w:type="spellEnd"/>
      <w:r>
        <w:rPr>
          <w:rFonts w:ascii="Google Sans Text" w:eastAsia="Google Sans Text" w:hAnsi="Google Sans Text" w:cs="Google Sans Text"/>
          <w:i/>
        </w:rPr>
        <w:t xml:space="preserve">​ y </w:t>
      </w:r>
      <w:proofErr w:type="spellStart"/>
      <w:r>
        <w:rPr>
          <w:rFonts w:ascii="Google Sans Text" w:eastAsia="Google Sans Text" w:hAnsi="Google Sans Text" w:cs="Google Sans Text"/>
          <w:i/>
        </w:rPr>
        <w:t>ΔTad</w:t>
      </w:r>
      <w:proofErr w:type="spellEnd"/>
      <w:r>
        <w:rPr>
          <w:rFonts w:ascii="Google Sans Text" w:eastAsia="Google Sans Text" w:hAnsi="Google Sans Text" w:cs="Google Sans Text"/>
          <w:i/>
        </w:rPr>
        <w:t>​ son representativos y pueden variar significativamente con la composición exacta y el campo magnético aplicado. TRL se refiere al Nivel de Madurez Tecnológica.</w:t>
      </w:r>
    </w:p>
    <w:p w:rsidR="00DB3014" w:rsidRDefault="00DB3014">
      <w:pPr>
        <w:pBdr>
          <w:top w:val="nil"/>
          <w:left w:val="nil"/>
          <w:bottom w:val="nil"/>
          <w:right w:val="nil"/>
          <w:between w:val="nil"/>
        </w:pBdr>
        <w:spacing w:line="275" w:lineRule="auto"/>
        <w:rPr>
          <w:rFonts w:ascii="Google Sans Text" w:eastAsia="Google Sans Text" w:hAnsi="Google Sans Text" w:cs="Google Sans Text"/>
          <w:i/>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5.2. Sistemas de Generación de Campo Magnético</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fuente de campo magnético es el segundo componente más crítico y costoso de un refrigerador magnético.</w:t>
      </w:r>
    </w:p>
    <w:p w:rsidR="00DB3014" w:rsidRDefault="00000000" w:rsidP="002E1313">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Imanes Permanentes:</w:t>
      </w:r>
      <w:r>
        <w:rPr>
          <w:rFonts w:ascii="Google Sans Text" w:eastAsia="Google Sans Text" w:hAnsi="Google Sans Text" w:cs="Google Sans Text"/>
        </w:rPr>
        <w:t xml:space="preserve"> Para la comercialización masiva, especialmente en aplicaciones domésticas y comerciales, los imanes permanentes son la única opción viable, ya que no requieren un consumo continuo de energía para generar el campo.</w:t>
      </w:r>
      <w:r>
        <w:rPr>
          <w:rFonts w:ascii="Google Sans Text" w:eastAsia="Google Sans Text" w:hAnsi="Google Sans Text" w:cs="Google Sans Text"/>
          <w:sz w:val="24"/>
          <w:szCs w:val="24"/>
          <w:vertAlign w:val="superscript"/>
        </w:rPr>
        <w:t>55</w:t>
      </w:r>
      <w:r>
        <w:rPr>
          <w:rFonts w:ascii="Google Sans Text" w:eastAsia="Google Sans Text" w:hAnsi="Google Sans Text" w:cs="Google Sans Text"/>
        </w:rPr>
        <w:t xml:space="preserve"> Los imanes de neodimio-hierro-boro (Nd-Fe-B) son los preferidos debido a su altísima densidad de energía magnética. Los principales desafíos son su coste, la dependencia de las tierras raras (neodimio y disprosio), y el hecho de que su intensidad de campo está prácticamente limitada a menos de 2 Teslas (T) en configuraciones prácticas.</w:t>
      </w:r>
      <w:r>
        <w:rPr>
          <w:rFonts w:ascii="Google Sans Text" w:eastAsia="Google Sans Text" w:hAnsi="Google Sans Text" w:cs="Google Sans Text"/>
          <w:sz w:val="24"/>
          <w:szCs w:val="24"/>
          <w:vertAlign w:val="superscript"/>
        </w:rPr>
        <w:t>22</w:t>
      </w:r>
    </w:p>
    <w:p w:rsidR="00DB3014" w:rsidRDefault="00000000" w:rsidP="002E1313">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Diseño de Arreglos Magnéticos:</w:t>
      </w:r>
      <w:r>
        <w:rPr>
          <w:rFonts w:ascii="Google Sans Text" w:eastAsia="Google Sans Text" w:hAnsi="Google Sans Text" w:cs="Google Sans Text"/>
        </w:rPr>
        <w:t xml:space="preserve"> Para maximizar la eficiencia, es crucial diseñar un circuito magnético que concentre el campo en el volumen del regenerador y lo minimice en el exterior. Los </w:t>
      </w:r>
      <w:r>
        <w:rPr>
          <w:rFonts w:ascii="Google Sans Text" w:eastAsia="Google Sans Text" w:hAnsi="Google Sans Text" w:cs="Google Sans Text"/>
          <w:b/>
        </w:rPr>
        <w:t xml:space="preserve">cilindros de </w:t>
      </w:r>
      <w:proofErr w:type="spellStart"/>
      <w:r>
        <w:rPr>
          <w:rFonts w:ascii="Google Sans Text" w:eastAsia="Google Sans Text" w:hAnsi="Google Sans Text" w:cs="Google Sans Text"/>
          <w:b/>
        </w:rPr>
        <w:t>Halbach</w:t>
      </w:r>
      <w:proofErr w:type="spellEnd"/>
      <w:r>
        <w:rPr>
          <w:rFonts w:ascii="Google Sans Text" w:eastAsia="Google Sans Text" w:hAnsi="Google Sans Text" w:cs="Google Sans Text"/>
        </w:rPr>
        <w:t xml:space="preserve"> son un diseño avanzado que utiliza una disposición específica de segmentos de imanes para lograr precisamente esto, mejorando significativamente la eficiencia del sistema en comparación con configuraciones más simples.</w:t>
      </w:r>
      <w:r>
        <w:rPr>
          <w:rFonts w:ascii="Google Sans Text" w:eastAsia="Google Sans Text" w:hAnsi="Google Sans Text" w:cs="Google Sans Text"/>
          <w:sz w:val="24"/>
          <w:szCs w:val="24"/>
          <w:vertAlign w:val="superscript"/>
        </w:rPr>
        <w:t>56</w:t>
      </w:r>
    </w:p>
    <w:p w:rsidR="00DB3014" w:rsidRDefault="00000000" w:rsidP="002E1313">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Electroimanes y Superconductores:</w:t>
      </w:r>
      <w:r>
        <w:rPr>
          <w:rFonts w:ascii="Google Sans Text" w:eastAsia="Google Sans Text" w:hAnsi="Google Sans Text" w:cs="Google Sans Text"/>
        </w:rPr>
        <w:t xml:space="preserve"> Estos sistemas pueden generar campos magnéticos mucho más fuertes (&gt; 5 T), lo que aumenta el MCE. Sin embargo, su uso se limita a prototipos de laboratorio y aplicaciones criogénicas especializadas debido a su gran tamaño, alto consumo de energía (en el caso de electroimanes resistivos) y la necesidad de sistemas de refrigeración complejos y costosos para mantener el estado superconductor.</w:t>
      </w:r>
      <w:r>
        <w:rPr>
          <w:rFonts w:ascii="Google Sans Text" w:eastAsia="Google Sans Text" w:hAnsi="Google Sans Text" w:cs="Google Sans Text"/>
          <w:sz w:val="24"/>
          <w:szCs w:val="24"/>
          <w:vertAlign w:val="superscript"/>
        </w:rPr>
        <w:t>11</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5.3. Diseño de Regeneradores y Sistemas de Intercambio de Calor</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eficiencia de un sistema AMR está intrínsecamente ligada al diseño del regenerador y a la eficacia con la que el calor se transfiere entre el MCM sólido y el fluido.</w:t>
      </w:r>
    </w:p>
    <w:p w:rsidR="00DB3014" w:rsidRDefault="00000000" w:rsidP="002E1313">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Geometría del Regenerador:</w:t>
      </w:r>
      <w:r>
        <w:rPr>
          <w:rFonts w:ascii="Google Sans Text" w:eastAsia="Google Sans Text" w:hAnsi="Google Sans Text" w:cs="Google Sans Text"/>
        </w:rPr>
        <w:t xml:space="preserve"> La matriz del regenerador debe tener una alta área superficial por unidad de volumen para maximizar la transferencia de calor, pero también una baja resistencia al flujo para minimizar la potencia de bombeo requerida. Las geometrías comunes incluyen </w:t>
      </w:r>
      <w:r>
        <w:rPr>
          <w:rFonts w:ascii="Google Sans Text" w:eastAsia="Google Sans Text" w:hAnsi="Google Sans Text" w:cs="Google Sans Text"/>
          <w:b/>
        </w:rPr>
        <w:t>lechos de esferas empaquetadas</w:t>
      </w:r>
      <w:r>
        <w:rPr>
          <w:rFonts w:ascii="Google Sans Text" w:eastAsia="Google Sans Text" w:hAnsi="Google Sans Text" w:cs="Google Sans Text"/>
        </w:rPr>
        <w:t xml:space="preserve">, que son fáciles de fabricar, y </w:t>
      </w:r>
      <w:r>
        <w:rPr>
          <w:rFonts w:ascii="Google Sans Text" w:eastAsia="Google Sans Text" w:hAnsi="Google Sans Text" w:cs="Google Sans Text"/>
          <w:b/>
        </w:rPr>
        <w:t>placas paralelas</w:t>
      </w:r>
      <w:r>
        <w:rPr>
          <w:rFonts w:ascii="Google Sans Text" w:eastAsia="Google Sans Text" w:hAnsi="Google Sans Text" w:cs="Google Sans Text"/>
        </w:rPr>
        <w:t>, que teóricamente ofrecen una menor caída de presión para una misma eficiencia de transferencia de calor, pero son más difíciles de fabricar con precisión.</w:t>
      </w:r>
      <w:r>
        <w:rPr>
          <w:rFonts w:ascii="Google Sans Text" w:eastAsia="Google Sans Text" w:hAnsi="Google Sans Text" w:cs="Google Sans Text"/>
          <w:sz w:val="24"/>
          <w:szCs w:val="24"/>
          <w:vertAlign w:val="superscript"/>
        </w:rPr>
        <w:t>18</w:t>
      </w:r>
    </w:p>
    <w:p w:rsidR="00DB3014" w:rsidRDefault="00000000" w:rsidP="002E1313">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Pérdidas del Sistema:</w:t>
      </w:r>
      <w:r>
        <w:rPr>
          <w:rFonts w:ascii="Google Sans Text" w:eastAsia="Google Sans Text" w:hAnsi="Google Sans Text" w:cs="Google Sans Text"/>
        </w:rPr>
        <w:t xml:space="preserve"> Un sistema real se ve afectado por varias fuentes de irreversibilidad que degradan su rendimiento. Las principales pérdidas incluyen la </w:t>
      </w:r>
      <w:r>
        <w:rPr>
          <w:rFonts w:ascii="Google Sans Text" w:eastAsia="Google Sans Text" w:hAnsi="Google Sans Text" w:cs="Google Sans Text"/>
          <w:b/>
        </w:rPr>
        <w:t>potencia de bombeo</w:t>
      </w:r>
      <w:r>
        <w:rPr>
          <w:rFonts w:ascii="Google Sans Text" w:eastAsia="Google Sans Text" w:hAnsi="Google Sans Text" w:cs="Google Sans Text"/>
        </w:rPr>
        <w:t xml:space="preserve"> necesaria para superar la caída de presión en el regenerador y los intercambiadores de calor, la </w:t>
      </w:r>
      <w:r>
        <w:rPr>
          <w:rFonts w:ascii="Google Sans Text" w:eastAsia="Google Sans Text" w:hAnsi="Google Sans Text" w:cs="Google Sans Text"/>
          <w:b/>
        </w:rPr>
        <w:t>conducción de calor axial</w:t>
      </w:r>
      <w:r>
        <w:rPr>
          <w:rFonts w:ascii="Google Sans Text" w:eastAsia="Google Sans Text" w:hAnsi="Google Sans Text" w:cs="Google Sans Text"/>
        </w:rPr>
        <w:t xml:space="preserve"> a lo largo del lecho del regenerador y las paredes del sistema (que tiende a destruir el gradiente de </w:t>
      </w:r>
      <w:r>
        <w:rPr>
          <w:rFonts w:ascii="Google Sans Text" w:eastAsia="Google Sans Text" w:hAnsi="Google Sans Text" w:cs="Google Sans Text"/>
        </w:rPr>
        <w:lastRenderedPageBreak/>
        <w:t xml:space="preserve">temperatura), las </w:t>
      </w:r>
      <w:r>
        <w:rPr>
          <w:rFonts w:ascii="Google Sans Text" w:eastAsia="Google Sans Text" w:hAnsi="Google Sans Text" w:cs="Google Sans Text"/>
          <w:b/>
        </w:rPr>
        <w:t>fugas de calor</w:t>
      </w:r>
      <w:r>
        <w:rPr>
          <w:rFonts w:ascii="Google Sans Text" w:eastAsia="Google Sans Text" w:hAnsi="Google Sans Text" w:cs="Google Sans Text"/>
        </w:rPr>
        <w:t xml:space="preserve"> desde el ambiente hacia el extremo frío, y las </w:t>
      </w:r>
      <w:r>
        <w:rPr>
          <w:rFonts w:ascii="Google Sans Text" w:eastAsia="Google Sans Text" w:hAnsi="Google Sans Text" w:cs="Google Sans Text"/>
          <w:b/>
        </w:rPr>
        <w:t>pérdidas mecánicas</w:t>
      </w:r>
      <w:r>
        <w:rPr>
          <w:rFonts w:ascii="Google Sans Text" w:eastAsia="Google Sans Text" w:hAnsi="Google Sans Text" w:cs="Google Sans Text"/>
        </w:rPr>
        <w:t xml:space="preserve"> en los mecanismos que mueven los imanes o los lechos.</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xml:space="preserve"> La minimización de estas pérdidas es un desafío de ingeniería clave.</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2"/>
        <w:spacing w:before="0" w:line="275" w:lineRule="auto"/>
        <w:rPr>
          <w:rFonts w:ascii="Google Sans" w:eastAsia="Google Sans" w:hAnsi="Google Sans" w:cs="Google Sans"/>
        </w:rPr>
      </w:pPr>
      <w:r>
        <w:rPr>
          <w:rFonts w:ascii="Google Sans" w:eastAsia="Google Sans" w:hAnsi="Google Sans" w:cs="Google Sans"/>
        </w:rPr>
        <w:t>6. Estado de la Comercialización, Aplicaciones y Perspectivas Futuras</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Tras décadas de investigación fundamental, la refrigeración magnética está transitando del laboratorio al mercado, impulsada por la convergencia de avances en materiales, una mayor comprensión de la ingeniería de sistemas y una fuerte demanda de tecnologías de refrigeración sostenibles.</w:t>
      </w:r>
    </w:p>
    <w:p w:rsidR="00DB3014" w:rsidRDefault="00DB3014">
      <w:pPr>
        <w:pBdr>
          <w:top w:val="nil"/>
          <w:left w:val="nil"/>
          <w:bottom w:val="nil"/>
          <w:right w:val="nil"/>
          <w:between w:val="nil"/>
        </w:pBdr>
        <w:spacing w:line="275" w:lineRule="auto"/>
        <w:rPr>
          <w:rFonts w:ascii="Google Sans Text" w:eastAsia="Google Sans Text" w:hAnsi="Google Sans Text" w:cs="Google Sans Tex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6.1. Prototipos y Sistemas Comerciales Notables</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Varias empresas y grupos de investigación han desarrollado prototipos funcionales que demuestran la viabilidad de la tecnología a temperatura ambiente. Entre los pioneros se encuentran </w:t>
      </w:r>
      <w:proofErr w:type="spellStart"/>
      <w:r>
        <w:rPr>
          <w:rFonts w:ascii="Google Sans Text" w:eastAsia="Google Sans Text" w:hAnsi="Google Sans Text" w:cs="Google Sans Text"/>
        </w:rPr>
        <w:t>Astronautics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Corporation</w:t>
      </w:r>
      <w:proofErr w:type="spellEnd"/>
      <w:r>
        <w:rPr>
          <w:rFonts w:ascii="Google Sans Text" w:eastAsia="Google Sans Text" w:hAnsi="Google Sans Text" w:cs="Google Sans Text"/>
        </w:rPr>
        <w:t xml:space="preserve"> y Toshiba, que ya a principios de la década de 2000 presentaron prototipos rotativos con imanes permanentes.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Más recientemente, una nueva ola de empresas está llevando la tecnología al umbral de la comercialización:</w:t>
      </w:r>
    </w:p>
    <w:p w:rsidR="00DB3014" w:rsidRDefault="00000000" w:rsidP="002E1313">
      <w:pPr>
        <w:numPr>
          <w:ilvl w:val="0"/>
          <w:numId w:val="10"/>
        </w:numPr>
        <w:pBdr>
          <w:top w:val="nil"/>
          <w:left w:val="nil"/>
          <w:bottom w:val="nil"/>
          <w:right w:val="nil"/>
          <w:between w:val="nil"/>
        </w:pBdr>
        <w:spacing w:line="275" w:lineRule="auto"/>
        <w:jc w:val="both"/>
      </w:pPr>
      <w:r>
        <w:rPr>
          <w:rFonts w:ascii="Google Sans Text" w:eastAsia="Google Sans Text" w:hAnsi="Google Sans Text" w:cs="Google Sans Text"/>
          <w:b/>
        </w:rPr>
        <w:t>MAGNOTHERM (Alemania):</w:t>
      </w:r>
      <w:r>
        <w:rPr>
          <w:rFonts w:ascii="Google Sans Text" w:eastAsia="Google Sans Text" w:hAnsi="Google Sans Text" w:cs="Google Sans Text"/>
        </w:rPr>
        <w:t xml:space="preserve"> Esta empresa ha desarrollado sistemas que utilizan aleaciones de La-Fe-Si y afirma que su tecnología puede aumentar la eficiencia del ciclo hasta en un 30% en comparación con las alternativas. Ya han desplegado su producto "Polaris", un enfriador de bebidas, en supermercados del área de Frankfurt, demostrando su fiabilidad en un entorno comercial real.</w:t>
      </w:r>
      <w:r>
        <w:rPr>
          <w:rFonts w:ascii="Google Sans Text" w:eastAsia="Google Sans Text" w:hAnsi="Google Sans Text" w:cs="Google Sans Text"/>
          <w:sz w:val="24"/>
          <w:szCs w:val="24"/>
          <w:vertAlign w:val="superscript"/>
        </w:rPr>
        <w:t>59</w:t>
      </w:r>
    </w:p>
    <w:p w:rsidR="00DB3014" w:rsidRDefault="00000000" w:rsidP="002E1313">
      <w:pPr>
        <w:numPr>
          <w:ilvl w:val="0"/>
          <w:numId w:val="10"/>
        </w:numPr>
        <w:pBdr>
          <w:top w:val="nil"/>
          <w:left w:val="nil"/>
          <w:bottom w:val="nil"/>
          <w:right w:val="nil"/>
          <w:between w:val="nil"/>
        </w:pBdr>
        <w:spacing w:line="275" w:lineRule="auto"/>
        <w:jc w:val="both"/>
      </w:pPr>
      <w:proofErr w:type="spellStart"/>
      <w:r>
        <w:rPr>
          <w:rFonts w:ascii="Google Sans Text" w:eastAsia="Google Sans Text" w:hAnsi="Google Sans Text" w:cs="Google Sans Text"/>
          <w:b/>
        </w:rPr>
        <w:t>Camfridge</w:t>
      </w:r>
      <w:proofErr w:type="spellEnd"/>
      <w:r>
        <w:rPr>
          <w:rFonts w:ascii="Google Sans Text" w:eastAsia="Google Sans Text" w:hAnsi="Google Sans Text" w:cs="Google Sans Text"/>
          <w:b/>
        </w:rPr>
        <w:t xml:space="preserve"> (Reino Unido):</w:t>
      </w:r>
      <w:r>
        <w:rPr>
          <w:rFonts w:ascii="Google Sans Text" w:eastAsia="Google Sans Text" w:hAnsi="Google Sans Text" w:cs="Google Sans Text"/>
        </w:rPr>
        <w:t xml:space="preserve"> Fundada en 2005, es una de las empresas más antiguas del sector. Se ha centrado en el desarrollo de aleaciones de bajo coste basadas en hierro (su "tercera generación" de aleaciones) para evitar el uso de gadolinio. Han demostrado la compacidad de su solución integrándola en un enfriador de bebidas de sobremesa con el mismo volumen de refrigeración que un modelo convencional.</w:t>
      </w:r>
      <w:r>
        <w:rPr>
          <w:rFonts w:ascii="Google Sans Text" w:eastAsia="Google Sans Text" w:hAnsi="Google Sans Text" w:cs="Google Sans Text"/>
          <w:sz w:val="24"/>
          <w:szCs w:val="24"/>
          <w:vertAlign w:val="superscript"/>
        </w:rPr>
        <w:t>5</w:t>
      </w:r>
    </w:p>
    <w:p w:rsidR="00DB3014" w:rsidRDefault="00000000" w:rsidP="002E1313">
      <w:pPr>
        <w:numPr>
          <w:ilvl w:val="0"/>
          <w:numId w:val="10"/>
        </w:numPr>
        <w:pBdr>
          <w:top w:val="nil"/>
          <w:left w:val="nil"/>
          <w:bottom w:val="nil"/>
          <w:right w:val="nil"/>
          <w:between w:val="nil"/>
        </w:pBdr>
        <w:spacing w:line="275" w:lineRule="auto"/>
        <w:jc w:val="both"/>
      </w:pPr>
      <w:proofErr w:type="spellStart"/>
      <w:r>
        <w:rPr>
          <w:rFonts w:ascii="Google Sans Text" w:eastAsia="Google Sans Text" w:hAnsi="Google Sans Text" w:cs="Google Sans Text"/>
          <w:b/>
        </w:rPr>
        <w:t>Ubiblue</w:t>
      </w:r>
      <w:proofErr w:type="spellEnd"/>
      <w:r>
        <w:rPr>
          <w:rFonts w:ascii="Google Sans Text" w:eastAsia="Google Sans Text" w:hAnsi="Google Sans Text" w:cs="Google Sans Text"/>
          <w:b/>
        </w:rPr>
        <w:t xml:space="preserve"> (Francia, anteriormente </w:t>
      </w:r>
      <w:proofErr w:type="spellStart"/>
      <w:r>
        <w:rPr>
          <w:rFonts w:ascii="Google Sans Text" w:eastAsia="Google Sans Text" w:hAnsi="Google Sans Text" w:cs="Google Sans Text"/>
          <w:b/>
        </w:rPr>
        <w:t>Cooltech</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Applications</w:t>
      </w:r>
      <w:proofErr w:type="spellEnd"/>
      <w:r>
        <w:rPr>
          <w:rFonts w:ascii="Google Sans Text" w:eastAsia="Google Sans Text" w:hAnsi="Google Sans Text" w:cs="Google Sans Text"/>
          <w:b/>
        </w:rPr>
        <w:t xml:space="preserve">, ahora parte de </w:t>
      </w:r>
      <w:proofErr w:type="spellStart"/>
      <w:r>
        <w:rPr>
          <w:rFonts w:ascii="Google Sans Text" w:eastAsia="Google Sans Text" w:hAnsi="Google Sans Text" w:cs="Google Sans Text"/>
          <w:b/>
        </w:rPr>
        <w:t>Haier</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Esta empresa ha desarrollado prototipos para vitrinas de refrigeración comercial y enfriadores de vino, siendo uno de los actores clave en el mercado europeo.</w:t>
      </w:r>
      <w:r>
        <w:rPr>
          <w:rFonts w:ascii="Google Sans Text" w:eastAsia="Google Sans Text" w:hAnsi="Google Sans Text" w:cs="Google Sans Text"/>
          <w:sz w:val="24"/>
          <w:szCs w:val="24"/>
          <w:vertAlign w:val="superscript"/>
        </w:rPr>
        <w:t>5</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Estos esfuerzos han culminado en la creación de sistemas que, aunque todavía no son competitivos en coste para todas las aplicaciones, demuestran que los desafíos técnicos fundamentales están siendo superados.</w:t>
      </w: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DB3014">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Desarrollador</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Año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Tipo de Sistema</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Material MCM</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Imán (Campo 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Potencia de </w:t>
            </w:r>
            <w:r>
              <w:rPr>
                <w:rFonts w:ascii="Google Sans Text" w:eastAsia="Google Sans Text" w:hAnsi="Google Sans Text" w:cs="Google Sans Text"/>
              </w:rPr>
              <w:lastRenderedPageBreak/>
              <w:t>Enfriamiento (W)</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ΔT (K)</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COP</w:t>
            </w:r>
          </w:p>
        </w:tc>
      </w:tr>
      <w:tr w:rsidR="00DB3014">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Astronautics</w:t>
            </w:r>
            <w:proofErr w:type="spellEnd"/>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2001</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Rotativo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Esferas de Gd</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Permanente (1.5)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95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r>
      <w:tr w:rsidR="00DB3014">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Toshiba</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2003</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Rotativo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Gd$_{1-x}</w:t>
            </w:r>
            <w:proofErr w:type="spellStart"/>
            <w:r>
              <w:rPr>
                <w:rFonts w:ascii="Google Sans Text" w:eastAsia="Google Sans Text" w:hAnsi="Google Sans Text" w:cs="Google Sans Text"/>
              </w:rPr>
              <w:t>Dy_x</w:t>
            </w:r>
            <w:proofErr w:type="spellEnd"/>
            <w:r>
              <w:rPr>
                <w:rFonts w:ascii="Google Sans Text" w:eastAsia="Google Sans Text" w:hAnsi="Google Sans Text" w:cs="Google Sans Text"/>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Permanente (0.76)</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60</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r>
      <w:tr w:rsidR="00DB3014">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Univ. de Salerno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2016</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Rotativo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Esferas de Gd</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Permanente (1.2)</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250</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12</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0.5 - 2.5</w:t>
            </w:r>
          </w:p>
        </w:tc>
      </w:tr>
      <w:tr w:rsidR="00DB3014">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MAGNOTHERM</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2024</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Rotativo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w:t>
            </w:r>
            <w:proofErr w:type="spellStart"/>
            <w:r>
              <w:rPr>
                <w:rFonts w:ascii="Google Sans Text" w:eastAsia="Google Sans Text" w:hAnsi="Google Sans Text" w:cs="Google Sans Text"/>
              </w:rPr>
              <w:t>Fe,Si</w:t>
            </w:r>
            <w:proofErr w:type="spellEnd"/>
            <w:r>
              <w:rPr>
                <w:rFonts w:ascii="Google Sans Text" w:eastAsia="Google Sans Text" w:hAnsi="Google Sans Text" w:cs="Google Sans Text"/>
              </w:rPr>
              <w:t>)13​</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Permanente</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 kW - 15 kW (plataformas)</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r>
      <w:tr w:rsidR="00DB3014">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Camfridge</w:t>
            </w:r>
            <w:proofErr w:type="spellEnd"/>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2023</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Aleaciones base Fe</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Permanente</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3014"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r>
    </w:tbl>
    <w:p w:rsidR="00DB3014" w:rsidRDefault="00000000">
      <w:pPr>
        <w:pBdr>
          <w:top w:val="nil"/>
          <w:left w:val="nil"/>
          <w:bottom w:val="nil"/>
          <w:right w:val="nil"/>
          <w:between w:val="nil"/>
        </w:pBdr>
        <w:spacing w:before="480"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Tabla 2: Rendimiento de prototipos notables de refrigeración magnética a temperatura ambiente. Los datos de MAGNOTHERM se refieren a las plataformas de desarrollo anunciadas. Fuentes:.</w:t>
      </w:r>
      <w:r>
        <w:rPr>
          <w:rFonts w:ascii="Google Sans Text" w:eastAsia="Google Sans Text" w:hAnsi="Google Sans Text" w:cs="Google Sans Text"/>
          <w:sz w:val="24"/>
          <w:szCs w:val="24"/>
          <w:vertAlign w:val="superscript"/>
        </w:rPr>
        <w:t>1</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6.2. Análisis Tecno-Económico y Hoja de Ruta</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futuro comercial de la refrigeración magnética depende de su capacidad para competir económicamente con la tecnología de compresión de vapor.</w:t>
      </w:r>
    </w:p>
    <w:p w:rsidR="00DB3014" w:rsidRDefault="00000000" w:rsidP="002E1313">
      <w:pPr>
        <w:numPr>
          <w:ilvl w:val="0"/>
          <w:numId w:val="11"/>
        </w:numPr>
        <w:pBdr>
          <w:top w:val="nil"/>
          <w:left w:val="nil"/>
          <w:bottom w:val="nil"/>
          <w:right w:val="nil"/>
          <w:between w:val="nil"/>
        </w:pBdr>
        <w:spacing w:line="275" w:lineRule="auto"/>
        <w:jc w:val="both"/>
      </w:pPr>
      <w:r>
        <w:rPr>
          <w:rFonts w:ascii="Google Sans Text" w:eastAsia="Google Sans Text" w:hAnsi="Google Sans Text" w:cs="Google Sans Text"/>
          <w:b/>
        </w:rPr>
        <w:t>Proyecciones de Mercado:</w:t>
      </w:r>
      <w:r>
        <w:rPr>
          <w:rFonts w:ascii="Google Sans Text" w:eastAsia="Google Sans Text" w:hAnsi="Google Sans Text" w:cs="Google Sans Text"/>
        </w:rPr>
        <w:t xml:space="preserve"> Los análisis de mercado son optimistas y proyectan un crecimiento exponencial. Un informe prevé que el mercado alcance los 2.16 mil millones de USD para 2030, con una Tasa de Crecimiento Anual Compuesta (CAGR) del 23.89%.</w:t>
      </w:r>
      <w:r>
        <w:rPr>
          <w:rFonts w:ascii="Google Sans Text" w:eastAsia="Google Sans Text" w:hAnsi="Google Sans Text" w:cs="Google Sans Text"/>
          <w:sz w:val="24"/>
          <w:szCs w:val="24"/>
          <w:vertAlign w:val="superscript"/>
        </w:rPr>
        <w:t>28</w:t>
      </w:r>
      <w:r>
        <w:rPr>
          <w:rFonts w:ascii="Google Sans Text" w:eastAsia="Google Sans Text" w:hAnsi="Google Sans Text" w:cs="Google Sans Text"/>
        </w:rPr>
        <w:t xml:space="preserve"> Otro informe es aún más agresivo, proyectando un mercado de 275 millones de USD para 2030 con un CAGR del 178.8%, partiendo de una base más pequeña en 2023.</w:t>
      </w:r>
      <w:r>
        <w:rPr>
          <w:rFonts w:ascii="Google Sans Text" w:eastAsia="Google Sans Text" w:hAnsi="Google Sans Text" w:cs="Google Sans Text"/>
          <w:sz w:val="24"/>
          <w:szCs w:val="24"/>
          <w:vertAlign w:val="superscript"/>
        </w:rPr>
        <w:t>65</w:t>
      </w:r>
      <w:r>
        <w:rPr>
          <w:rFonts w:ascii="Google Sans Text" w:eastAsia="Google Sans Text" w:hAnsi="Google Sans Text" w:cs="Google Sans Text"/>
        </w:rPr>
        <w:t xml:space="preserve"> Este crecimiento está impulsado por las regulaciones sobre refrigerantes y la creciente demanda de soluciones energéticamente eficientes.</w:t>
      </w:r>
    </w:p>
    <w:p w:rsidR="00DB3014" w:rsidRDefault="00000000" w:rsidP="002E1313">
      <w:pPr>
        <w:numPr>
          <w:ilvl w:val="0"/>
          <w:numId w:val="11"/>
        </w:numPr>
        <w:pBdr>
          <w:top w:val="nil"/>
          <w:left w:val="nil"/>
          <w:bottom w:val="nil"/>
          <w:right w:val="nil"/>
          <w:between w:val="nil"/>
        </w:pBdr>
        <w:spacing w:line="275" w:lineRule="auto"/>
        <w:jc w:val="both"/>
      </w:pPr>
      <w:r>
        <w:rPr>
          <w:rFonts w:ascii="Google Sans Text" w:eastAsia="Google Sans Text" w:hAnsi="Google Sans Text" w:cs="Google Sans Text"/>
          <w:b/>
        </w:rPr>
        <w:t>Análisis de Costes:</w:t>
      </w:r>
      <w:r>
        <w:rPr>
          <w:rFonts w:ascii="Google Sans Text" w:eastAsia="Google Sans Text" w:hAnsi="Google Sans Text" w:cs="Google Sans Text"/>
        </w:rPr>
        <w:t xml:space="preserve"> El principal obstáculo sigue siendo el coste de inversión inicial. El análisis del ciclo de vida (LCA) muestra que, aunque la fase de uso es más eficiente, la fase de producción de un refrigerador magnético puede tener un mayor impacto ambiental debido a la minería y el procesamiento de las tierras raras para los imanes.</w:t>
      </w:r>
      <w:r>
        <w:rPr>
          <w:rFonts w:ascii="Google Sans Text" w:eastAsia="Google Sans Text" w:hAnsi="Google Sans Text" w:cs="Google Sans Text"/>
          <w:sz w:val="24"/>
          <w:szCs w:val="24"/>
          <w:vertAlign w:val="superscript"/>
        </w:rPr>
        <w:t>66</w:t>
      </w:r>
      <w:r>
        <w:rPr>
          <w:rFonts w:ascii="Google Sans Text" w:eastAsia="Google Sans Text" w:hAnsi="Google Sans Text" w:cs="Google Sans Text"/>
        </w:rPr>
        <w:t xml:space="preserve"> Sin embargo, el coste total de propiedad puede ser competitivo. Se estima que el ahorro de energía y mantenimiento puede llevar a períodos de amortización de menos de tres años en aplicaciones comerciales.</w:t>
      </w:r>
      <w:r>
        <w:rPr>
          <w:rFonts w:ascii="Google Sans Text" w:eastAsia="Google Sans Text" w:hAnsi="Google Sans Text" w:cs="Google Sans Text"/>
          <w:sz w:val="24"/>
          <w:szCs w:val="24"/>
          <w:vertAlign w:val="superscript"/>
        </w:rPr>
        <w:t>61</w:t>
      </w:r>
      <w:r>
        <w:rPr>
          <w:rFonts w:ascii="Google Sans Text" w:eastAsia="Google Sans Text" w:hAnsi="Google Sans Text" w:cs="Google Sans Text"/>
        </w:rPr>
        <w:t xml:space="preserve"> La clave para la viabilidad económica a gran escala reside en reducir el coste de los imanes y de la producción en masa de los </w:t>
      </w:r>
      <w:proofErr w:type="spellStart"/>
      <w:r>
        <w:rPr>
          <w:rFonts w:ascii="Google Sans Text" w:eastAsia="Google Sans Text" w:hAnsi="Google Sans Text" w:cs="Google Sans Text"/>
        </w:rPr>
        <w:t>MCMs</w:t>
      </w:r>
      <w:proofErr w:type="spellEnd"/>
      <w:r>
        <w:rPr>
          <w:rFonts w:ascii="Google Sans Text" w:eastAsia="Google Sans Text" w:hAnsi="Google Sans Text" w:cs="Google Sans Text"/>
        </w:rPr>
        <w:t xml:space="preserve">, con </w:t>
      </w:r>
      <w:r>
        <w:rPr>
          <w:rFonts w:ascii="Google Sans Text" w:eastAsia="Google Sans Text" w:hAnsi="Google Sans Text" w:cs="Google Sans Text"/>
        </w:rPr>
        <w:lastRenderedPageBreak/>
        <w:t>un objetivo de coste para estos últimos por debajo de 1,000 USD/kg.</w:t>
      </w:r>
      <w:r>
        <w:rPr>
          <w:rFonts w:ascii="Google Sans Text" w:eastAsia="Google Sans Text" w:hAnsi="Google Sans Text" w:cs="Google Sans Text"/>
          <w:sz w:val="24"/>
          <w:szCs w:val="24"/>
          <w:vertAlign w:val="superscript"/>
        </w:rPr>
        <w:t>13</w:t>
      </w:r>
    </w:p>
    <w:p w:rsidR="00DB3014" w:rsidRDefault="00000000" w:rsidP="002E1313">
      <w:pPr>
        <w:numPr>
          <w:ilvl w:val="0"/>
          <w:numId w:val="11"/>
        </w:numPr>
        <w:pBdr>
          <w:top w:val="nil"/>
          <w:left w:val="nil"/>
          <w:bottom w:val="nil"/>
          <w:right w:val="nil"/>
          <w:between w:val="nil"/>
        </w:pBdr>
        <w:spacing w:line="275" w:lineRule="auto"/>
        <w:jc w:val="both"/>
      </w:pPr>
      <w:r>
        <w:rPr>
          <w:rFonts w:ascii="Google Sans Text" w:eastAsia="Google Sans Text" w:hAnsi="Google Sans Text" w:cs="Google Sans Text"/>
          <w:b/>
        </w:rPr>
        <w:t>Hoja de Ruta hacia la Comercialización:</w:t>
      </w:r>
      <w:r>
        <w:rPr>
          <w:rFonts w:ascii="Google Sans Text" w:eastAsia="Google Sans Text" w:hAnsi="Google Sans Text" w:cs="Google Sans Text"/>
        </w:rPr>
        <w:t xml:space="preserve"> La adopción de la tecnología probablemente seguirá una trayectoria escalonada:</w:t>
      </w:r>
    </w:p>
    <w:p w:rsidR="00DB3014" w:rsidRDefault="00000000" w:rsidP="002E1313">
      <w:pPr>
        <w:numPr>
          <w:ilvl w:val="1"/>
          <w:numId w:val="12"/>
        </w:numPr>
        <w:pBdr>
          <w:top w:val="nil"/>
          <w:left w:val="nil"/>
          <w:bottom w:val="nil"/>
          <w:right w:val="nil"/>
          <w:between w:val="nil"/>
        </w:pBdr>
        <w:spacing w:line="275" w:lineRule="auto"/>
        <w:jc w:val="both"/>
      </w:pPr>
      <w:r>
        <w:rPr>
          <w:rFonts w:ascii="Google Sans Text" w:eastAsia="Google Sans Text" w:hAnsi="Google Sans Text" w:cs="Google Sans Text"/>
          <w:b/>
        </w:rPr>
        <w:t>Mercados Nicho de Alto Valor (Corto Plazo):</w:t>
      </w:r>
      <w:r>
        <w:rPr>
          <w:rFonts w:ascii="Google Sans Text" w:eastAsia="Google Sans Text" w:hAnsi="Google Sans Text" w:cs="Google Sans Text"/>
        </w:rPr>
        <w:t xml:space="preserve"> La tecnología ya es viable en aplicaciones donde sus ventajas únicas (precisión, bajo ruido, fiabilidad) son primordiales y el coste es un factor secundario. Esto incluye la criogenia para computación cuántica y detectores científicos, y la refrigeración de equipos médicos especializados.</w:t>
      </w:r>
      <w:r>
        <w:rPr>
          <w:rFonts w:ascii="Google Sans Text" w:eastAsia="Google Sans Text" w:hAnsi="Google Sans Text" w:cs="Google Sans Text"/>
          <w:sz w:val="24"/>
          <w:szCs w:val="24"/>
          <w:vertAlign w:val="superscript"/>
        </w:rPr>
        <w:t>67</w:t>
      </w:r>
    </w:p>
    <w:p w:rsidR="00DB3014" w:rsidRDefault="00000000" w:rsidP="002E1313">
      <w:pPr>
        <w:numPr>
          <w:ilvl w:val="1"/>
          <w:numId w:val="12"/>
        </w:numPr>
        <w:pBdr>
          <w:top w:val="nil"/>
          <w:left w:val="nil"/>
          <w:bottom w:val="nil"/>
          <w:right w:val="nil"/>
          <w:between w:val="nil"/>
        </w:pBdr>
        <w:spacing w:line="275" w:lineRule="auto"/>
        <w:jc w:val="both"/>
      </w:pPr>
      <w:r>
        <w:rPr>
          <w:rFonts w:ascii="Google Sans Text" w:eastAsia="Google Sans Text" w:hAnsi="Google Sans Text" w:cs="Google Sans Text"/>
          <w:b/>
        </w:rPr>
        <w:t>Mercado Comercial (Mediano Plazo):</w:t>
      </w:r>
      <w:r>
        <w:rPr>
          <w:rFonts w:ascii="Google Sans Text" w:eastAsia="Google Sans Text" w:hAnsi="Google Sans Text" w:cs="Google Sans Text"/>
        </w:rPr>
        <w:t xml:space="preserve"> El siguiente paso es la penetración en el sector comercial, como enfriadores de bebidas, vitrinas de supermercados y cavas de vino. En este segmento, el ahorro energético y la eliminación de los costes de mantenimiento de los refrigerantes pueden justificar la inversión inicial.</w:t>
      </w:r>
      <w:r>
        <w:rPr>
          <w:rFonts w:ascii="Google Sans Text" w:eastAsia="Google Sans Text" w:hAnsi="Google Sans Text" w:cs="Google Sans Text"/>
          <w:sz w:val="24"/>
          <w:szCs w:val="24"/>
          <w:vertAlign w:val="superscript"/>
        </w:rPr>
        <w:t>6</w:t>
      </w:r>
      <w:r>
        <w:rPr>
          <w:rFonts w:ascii="Google Sans Text" w:eastAsia="Google Sans Text" w:hAnsi="Google Sans Text" w:cs="Google Sans Text"/>
        </w:rPr>
        <w:t xml:space="preserve"> Los prototipos de MAGNOTHERM y </w:t>
      </w:r>
      <w:proofErr w:type="spellStart"/>
      <w:r>
        <w:rPr>
          <w:rFonts w:ascii="Google Sans Text" w:eastAsia="Google Sans Text" w:hAnsi="Google Sans Text" w:cs="Google Sans Text"/>
        </w:rPr>
        <w:t>Camfridge</w:t>
      </w:r>
      <w:proofErr w:type="spellEnd"/>
      <w:r>
        <w:rPr>
          <w:rFonts w:ascii="Google Sans Text" w:eastAsia="Google Sans Text" w:hAnsi="Google Sans Text" w:cs="Google Sans Text"/>
        </w:rPr>
        <w:t xml:space="preserve"> ya apuntan a este mercado.</w:t>
      </w:r>
    </w:p>
    <w:p w:rsidR="00DB3014" w:rsidRDefault="00000000" w:rsidP="002E1313">
      <w:pPr>
        <w:numPr>
          <w:ilvl w:val="1"/>
          <w:numId w:val="12"/>
        </w:numPr>
        <w:pBdr>
          <w:top w:val="nil"/>
          <w:left w:val="nil"/>
          <w:bottom w:val="nil"/>
          <w:right w:val="nil"/>
          <w:between w:val="nil"/>
        </w:pBdr>
        <w:spacing w:line="275" w:lineRule="auto"/>
        <w:jc w:val="both"/>
      </w:pPr>
      <w:r>
        <w:rPr>
          <w:rFonts w:ascii="Google Sans Text" w:eastAsia="Google Sans Text" w:hAnsi="Google Sans Text" w:cs="Google Sans Text"/>
          <w:b/>
        </w:rPr>
        <w:t>Mercado Doméstico y HVAC (Largo Plazo):</w:t>
      </w:r>
      <w:r>
        <w:rPr>
          <w:rFonts w:ascii="Google Sans Text" w:eastAsia="Google Sans Text" w:hAnsi="Google Sans Text" w:cs="Google Sans Text"/>
        </w:rPr>
        <w:t xml:space="preserve"> La adopción masiva en refrigeradores domésticos y sistemas de aire acondicionado representa el mayor mercado potencial, pero también el desafío más grande. Requerirá reducciones de costes significativas a través de la producción en masa, la optimización del diseño y, potencialmente, el desarrollo de imanes sin tierras raras.</w:t>
      </w:r>
      <w:r>
        <w:rPr>
          <w:rFonts w:ascii="Google Sans Text" w:eastAsia="Google Sans Text" w:hAnsi="Google Sans Text" w:cs="Google Sans Text"/>
          <w:sz w:val="24"/>
          <w:szCs w:val="24"/>
          <w:vertAlign w:val="superscript"/>
        </w:rPr>
        <w:t>67</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3"/>
        <w:spacing w:before="0" w:line="275" w:lineRule="auto"/>
        <w:rPr>
          <w:rFonts w:ascii="Google Sans" w:eastAsia="Google Sans" w:hAnsi="Google Sans" w:cs="Google Sans"/>
        </w:rPr>
      </w:pPr>
      <w:r>
        <w:rPr>
          <w:rFonts w:ascii="Google Sans" w:eastAsia="Google Sans" w:hAnsi="Google Sans" w:cs="Google Sans"/>
        </w:rPr>
        <w:t>6.3. Aplicaciones Actuales y Emergentes</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versatilidad del MCE permite su aplicación en un amplio espectro de rangos de temperatura y escalas de potencia.</w:t>
      </w:r>
    </w:p>
    <w:p w:rsidR="00DB3014" w:rsidRDefault="00000000" w:rsidP="002E1313">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Criogenia y Licuefacción de Gases:</w:t>
      </w:r>
      <w:r>
        <w:rPr>
          <w:rFonts w:ascii="Google Sans Text" w:eastAsia="Google Sans Text" w:hAnsi="Google Sans Text" w:cs="Google Sans Text"/>
        </w:rPr>
        <w:t xml:space="preserve"> Esta es la aplicación más madura de la refrigeración magnética. Los refrigeradores de desmagnetización adiabática (ADR) se utilizan habitualmente en laboratorios para alcanzar temperaturas ultra bajas (sub-Kelvin) necesarias para la investigación en física fundamental y computación cuántica.</w:t>
      </w:r>
      <w:r>
        <w:rPr>
          <w:rFonts w:ascii="Google Sans Text" w:eastAsia="Google Sans Text" w:hAnsi="Google Sans Text" w:cs="Google Sans Text"/>
          <w:sz w:val="24"/>
          <w:szCs w:val="24"/>
          <w:vertAlign w:val="superscript"/>
        </w:rPr>
        <w:t>68</w:t>
      </w:r>
      <w:r>
        <w:rPr>
          <w:rFonts w:ascii="Google Sans Text" w:eastAsia="Google Sans Text" w:hAnsi="Google Sans Text" w:cs="Google Sans Text"/>
        </w:rPr>
        <w:t xml:space="preserve"> Además, la tecnología es muy prometedora para la licuefacción de gases como el hidrógeno, un paso crucial en la economía del hidrógeno, ya que podría ser un 50% más eficiente que los métodos convencionales.</w:t>
      </w:r>
      <w:r>
        <w:rPr>
          <w:rFonts w:ascii="Google Sans Text" w:eastAsia="Google Sans Text" w:hAnsi="Google Sans Text" w:cs="Google Sans Text"/>
          <w:sz w:val="24"/>
          <w:szCs w:val="24"/>
          <w:vertAlign w:val="superscript"/>
        </w:rPr>
        <w:t>25</w:t>
      </w:r>
    </w:p>
    <w:p w:rsidR="00DB3014" w:rsidRDefault="00000000" w:rsidP="002E1313">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Refrigeración Doméstica y Comercial:</w:t>
      </w:r>
      <w:r>
        <w:rPr>
          <w:rFonts w:ascii="Google Sans Text" w:eastAsia="Google Sans Text" w:hAnsi="Google Sans Text" w:cs="Google Sans Text"/>
        </w:rPr>
        <w:t xml:space="preserve"> Como se ha mencionado, este es el principal objetivo de la comercialización a temperatura ambiente. Los prototipos actuales se centran en enfriadores de bebidas y vitrinas, con el objetivo final de expandirse a refrigeradores y congeladores domésticos.</w:t>
      </w:r>
      <w:r>
        <w:rPr>
          <w:rFonts w:ascii="Google Sans Text" w:eastAsia="Google Sans Text" w:hAnsi="Google Sans Text" w:cs="Google Sans Text"/>
          <w:sz w:val="24"/>
          <w:szCs w:val="24"/>
          <w:vertAlign w:val="superscript"/>
        </w:rPr>
        <w:t>59</w:t>
      </w:r>
    </w:p>
    <w:p w:rsidR="00DB3014" w:rsidRDefault="00000000" w:rsidP="002E1313">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Bombas de Calor y HVAC:</w:t>
      </w:r>
      <w:r>
        <w:rPr>
          <w:rFonts w:ascii="Google Sans Text" w:eastAsia="Google Sans Text" w:hAnsi="Google Sans Text" w:cs="Google Sans Text"/>
        </w:rPr>
        <w:t xml:space="preserve"> El ciclo magnetocalórico es reversible, lo que significa que puede utilizarse tanto para enfriar como para calentar. Esto lo convierte en un candidato ideal para bombas de calor de alta eficiencia y sistemas de calefacción, ventilación y aire acondicionado (HVAC), un mercado con un enorme potencial de ahorro energético.</w:t>
      </w:r>
      <w:r>
        <w:rPr>
          <w:rFonts w:ascii="Google Sans Text" w:eastAsia="Google Sans Text" w:hAnsi="Google Sans Text" w:cs="Google Sans Text"/>
          <w:sz w:val="24"/>
          <w:szCs w:val="24"/>
          <w:vertAlign w:val="superscript"/>
        </w:rPr>
        <w:t>67</w:t>
      </w:r>
    </w:p>
    <w:p w:rsidR="00DB3014" w:rsidRDefault="00000000" w:rsidP="002E1313">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Aplicaciones Futuras:</w:t>
      </w:r>
      <w:r>
        <w:rPr>
          <w:rFonts w:ascii="Google Sans Text" w:eastAsia="Google Sans Text" w:hAnsi="Google Sans Text" w:cs="Google Sans Text"/>
        </w:rPr>
        <w:t xml:space="preserve"> A medida que la tecnología madure y los costes se reduzcan, </w:t>
      </w:r>
      <w:r>
        <w:rPr>
          <w:rFonts w:ascii="Google Sans Text" w:eastAsia="Google Sans Text" w:hAnsi="Google Sans Text" w:cs="Google Sans Text"/>
        </w:rPr>
        <w:lastRenderedPageBreak/>
        <w:t>podrían surgir nuevas aplicaciones. El enfriamiento de centros de datos es un área de gran interés, donde la eficiencia energética es crítica.</w:t>
      </w:r>
      <w:r>
        <w:rPr>
          <w:rFonts w:ascii="Google Sans Text" w:eastAsia="Google Sans Text" w:hAnsi="Google Sans Text" w:cs="Google Sans Text"/>
          <w:sz w:val="24"/>
          <w:szCs w:val="24"/>
          <w:vertAlign w:val="superscript"/>
        </w:rPr>
        <w:t>28</w:t>
      </w:r>
      <w:r>
        <w:rPr>
          <w:rFonts w:ascii="Google Sans Text" w:eastAsia="Google Sans Text" w:hAnsi="Google Sans Text" w:cs="Google Sans Text"/>
        </w:rPr>
        <w:t xml:space="preserve"> También se están explorando aplicaciones en el sector del transporte, como sistemas de aire acondicionado para vehículos eléctricos, donde la eficiencia impacta directamente en la autonomía del vehículo, y en aplicaciones aeroespaciales, donde la fiabilidad y la ausencia de fluidos a presión son ventajas significativas.</w:t>
      </w:r>
      <w:r>
        <w:rPr>
          <w:rFonts w:ascii="Google Sans Text" w:eastAsia="Google Sans Text" w:hAnsi="Google Sans Text" w:cs="Google Sans Text"/>
          <w:sz w:val="24"/>
          <w:szCs w:val="24"/>
          <w:vertAlign w:val="superscript"/>
        </w:rPr>
        <w:t>27</w:t>
      </w:r>
    </w:p>
    <w:p w:rsidR="00DB3014" w:rsidRDefault="00DB3014">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DB3014" w:rsidRDefault="00000000">
      <w:pPr>
        <w:pStyle w:val="Ttulo2"/>
        <w:spacing w:before="0" w:line="275" w:lineRule="auto"/>
        <w:rPr>
          <w:rFonts w:ascii="Google Sans" w:eastAsia="Google Sans" w:hAnsi="Google Sans" w:cs="Google Sans"/>
        </w:rPr>
      </w:pPr>
      <w:r>
        <w:rPr>
          <w:rFonts w:ascii="Google Sans" w:eastAsia="Google Sans" w:hAnsi="Google Sans" w:cs="Google Sans"/>
        </w:rPr>
        <w:t>7. Conclusión: El Futuro de la Refrigeración es Magnético</w:t>
      </w:r>
    </w:p>
    <w:p w:rsidR="00DB3014" w:rsidRDefault="00DB3014">
      <w:pPr>
        <w:pBdr>
          <w:top w:val="nil"/>
          <w:left w:val="nil"/>
          <w:bottom w:val="nil"/>
          <w:right w:val="nil"/>
          <w:between w:val="nil"/>
        </w:pBdr>
        <w:spacing w:line="275" w:lineRule="auto"/>
        <w:rPr>
          <w:rFonts w:ascii="Google Sans" w:eastAsia="Google Sans" w:hAnsi="Google Sans" w:cs="Google Sans"/>
        </w:rPr>
      </w:pP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refrigeración magnética ha evolucionado desde una curiosidad científica de laboratorio hasta convertirse en una tecnología de refrigeración de estado sólido con un potencial disruptivo tangible. Impulsada por una confluencia de avances en la ciencia de materiales y una creciente urgencia regulatoria y social para abandonar los refrigerantes dañinos para el medio ambiente, esta tecnología se encuentra en un punto de inflexión, al borde de la comercialización en nichos de mercado clave.</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Los principios fundamentales del efecto magnetocalórico, magnificados por el ingenio del ciclo de Regenerador Magnético Activo, ofrecen una base sólida para desarrollar sistemas de refrigeración que son intrínsecamente más eficientes, silenciosos, fiables y, sobre todo, sostenibles que sus homólogos de compresión de vapor. Las ventajas son claras y abordan directamente las deficiencias más críticas de la tecnología de refrigeración actual.</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Sin embargo, el camino hacia la adopción masiva no está exento de obstáculos. Los desafíos actuales son significativos y multifacéticos. El alto coste inicial, impulsado por la dependencia de imanes de tierras raras y procesos de fabricación de materiales magnetocalóricos aún no optimizados para la producción en masa, sigue siendo la barrera más formidable. Además, la durabilidad a largo plazo de los materiales más prometedores, como las aleaciones La-Fe-Si, en condiciones de ciclado continuo y en contacto con fluidos de transferencia de calor, debe ser demostrada de manera concluyente. La superación de estos desafíos requerirá una innovación continua y coordinada en múltiples frentes: desde el descubrimiento de nuevos materiales con propiedades mejoradas hasta el desarrollo de técnicas de fabricación escalables y rentables, y el diseño de sistemas integrados que optimicen cada componente del ciclo.</w:t>
      </w:r>
    </w:p>
    <w:p w:rsidR="00DB3014" w:rsidRDefault="00000000" w:rsidP="002E1313">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hoja de ruta para la comercialización parece clara, comenzando con aplicaciones de alto valor donde el coste es menos sensible y las ventajas operativas son primordiales, para luego expandirse gradualmente a mercados más amplios a medida que la tecnología madura y las economías de escala reducen los costes. Las proyecciones de mercado reflejan un gran optimismo, anticipando un crecimiento exponencial en la próxima década.</w:t>
      </w:r>
    </w:p>
    <w:p w:rsidR="00DB3014" w:rsidRDefault="00000000" w:rsidP="002E1313">
      <w:pPr>
        <w:pBdr>
          <w:top w:val="nil"/>
          <w:left w:val="nil"/>
          <w:bottom w:val="nil"/>
          <w:right w:val="nil"/>
          <w:between w:val="nil"/>
        </w:pBdr>
        <w:spacing w:after="255"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En última instancia, la refrigeración magnética representa más que una simple mejora </w:t>
      </w:r>
      <w:r>
        <w:rPr>
          <w:rFonts w:ascii="Google Sans Text" w:eastAsia="Google Sans Text" w:hAnsi="Google Sans Text" w:cs="Google Sans Text"/>
        </w:rPr>
        <w:lastRenderedPageBreak/>
        <w:t xml:space="preserve">tecnológica; es una </w:t>
      </w:r>
      <w:proofErr w:type="spellStart"/>
      <w:r>
        <w:rPr>
          <w:rFonts w:ascii="Google Sans Text" w:eastAsia="Google Sans Text" w:hAnsi="Google Sans Text" w:cs="Google Sans Text"/>
        </w:rPr>
        <w:t>reimaginación</w:t>
      </w:r>
      <w:proofErr w:type="spellEnd"/>
      <w:r>
        <w:rPr>
          <w:rFonts w:ascii="Google Sans Text" w:eastAsia="Google Sans Text" w:hAnsi="Google Sans Text" w:cs="Google Sans Text"/>
        </w:rPr>
        <w:t xml:space="preserve"> de cómo generamos frío. Si bien la transición completa puede llevar una década o más, la combinación de una fuerte presión regulatoria, la innovación incesante en la ciencia de los materiales y el claro potencial para un futuro energético más sostenible, sugiere que el futuro de la refrigeración es, efectivamente, magnético.</w:t>
      </w:r>
    </w:p>
    <w:p w:rsidR="00DB3014" w:rsidRDefault="00000000">
      <w:pPr>
        <w:pStyle w:val="Ttulo4"/>
        <w:spacing w:before="0"/>
        <w:rPr>
          <w:rFonts w:ascii="Google Sans" w:eastAsia="Google Sans" w:hAnsi="Google Sans" w:cs="Google Sans"/>
        </w:rPr>
      </w:pPr>
      <w:r>
        <w:rPr>
          <w:rFonts w:ascii="Google Sans" w:eastAsia="Google Sans" w:hAnsi="Google Sans" w:cs="Google Sans"/>
        </w:rPr>
        <w:t>Obras citadas</w:t>
      </w:r>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New Prototype Magnetic Refrigerators Hold Commercial Promise, fecha de acceso: agosto 8, 2025, </w:t>
      </w:r>
      <w:hyperlink r:id="rId5">
        <w:r w:rsidRPr="002E1313">
          <w:rPr>
            <w:rFonts w:ascii="Google Sans" w:eastAsia="Google Sans" w:hAnsi="Google Sans" w:cs="Google Sans"/>
            <w:color w:val="0000EE"/>
            <w:sz w:val="24"/>
            <w:szCs w:val="24"/>
            <w:u w:val="single"/>
            <w:lang w:val="en-US"/>
          </w:rPr>
          <w:t>https://www.aps.org/publications/apsnews/200305/refrigerators.cfm</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The Promise and the Problems - Scholarly Commons, fecha de acceso: agosto 8, 2025, </w:t>
      </w:r>
      <w:hyperlink r:id="rId6">
        <w:r w:rsidRPr="002E1313">
          <w:rPr>
            <w:rFonts w:ascii="Google Sans" w:eastAsia="Google Sans" w:hAnsi="Google Sans" w:cs="Google Sans"/>
            <w:color w:val="0000EE"/>
            <w:sz w:val="24"/>
            <w:szCs w:val="24"/>
            <w:u w:val="single"/>
            <w:lang w:val="en-US"/>
          </w:rPr>
          <w:t>https://commons.erau.edu/cgi/viewcontent.cgi?article=2397&amp;context=space-congress-proceedings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What's so attractive about magnetic refrigeration? - CIBSE Journal, fecha de acceso: agosto 8, 2025, </w:t>
      </w:r>
      <w:hyperlink r:id="rId7">
        <w:r w:rsidRPr="002E1313">
          <w:rPr>
            <w:rFonts w:ascii="Google Sans" w:eastAsia="Google Sans" w:hAnsi="Google Sans" w:cs="Google Sans"/>
            <w:color w:val="0000EE"/>
            <w:sz w:val="24"/>
            <w:szCs w:val="24"/>
            <w:u w:val="single"/>
            <w:lang w:val="en-US"/>
          </w:rPr>
          <w:t>https://www.cibsejournal.com/technical/the-appeal-of-magnetic-refrigeration/</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Magnetocaloric Refrigeration in the Context of Sustainability: A Review of Thermodynamic Bases, the State of the Art, and Future Prospects - MDPI, fecha de acceso: agosto 8, 2025, </w:t>
      </w:r>
      <w:hyperlink r:id="rId8">
        <w:r w:rsidRPr="002E1313">
          <w:rPr>
            <w:rFonts w:ascii="Google Sans" w:eastAsia="Google Sans" w:hAnsi="Google Sans" w:cs="Google Sans"/>
            <w:color w:val="0000EE"/>
            <w:sz w:val="24"/>
            <w:szCs w:val="24"/>
            <w:u w:val="single"/>
            <w:lang w:val="en-US"/>
          </w:rPr>
          <w:t>https://www.mdpi.com/1996-1073/17/14/3585</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Market Size, Share, Trends and Growth Analysis 2032 - MarketsandMarkets, fecha de acceso: agosto 8, 2025, </w:t>
      </w:r>
      <w:hyperlink r:id="rId9">
        <w:r w:rsidRPr="002E1313">
          <w:rPr>
            <w:rFonts w:ascii="Google Sans" w:eastAsia="Google Sans" w:hAnsi="Google Sans" w:cs="Google Sans"/>
            <w:color w:val="0000EE"/>
            <w:sz w:val="24"/>
            <w:szCs w:val="24"/>
            <w:u w:val="single"/>
            <w:lang w:val="en-US"/>
          </w:rPr>
          <w:t>https://www.marketsandmarkets.com/Market-Reports/magnetic-refrigeration-market-243034247.html</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Global Magnetic Refrigeration Market (2020 to 2025) - High Potential in Industrial Sector Presents Opportunities - ResearchAndMarkets.com, fecha de acceso: agosto 8, 2025, </w:t>
      </w:r>
      <w:hyperlink r:id="rId10">
        <w:r w:rsidRPr="002E1313">
          <w:rPr>
            <w:rFonts w:ascii="Google Sans" w:eastAsia="Google Sans" w:hAnsi="Google Sans" w:cs="Google Sans"/>
            <w:color w:val="0000EE"/>
            <w:sz w:val="24"/>
            <w:szCs w:val="24"/>
            <w:u w:val="single"/>
            <w:lang w:val="en-US"/>
          </w:rPr>
          <w:t>https://www.businesswire.com/news/home/20201102005427/en/Global-Magnetic-Refrigeration-Market-2020-to-2025---High-Potential-in-Industrial-Sector-Presents-Opportunities---ResearchAndMarkets.com</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 Richard Turton, fecha de acceso: agosto 8, 2025, </w:t>
      </w:r>
      <w:hyperlink r:id="rId11">
        <w:r w:rsidRPr="002E1313">
          <w:rPr>
            <w:rFonts w:ascii="Google Sans" w:eastAsia="Google Sans" w:hAnsi="Google Sans" w:cs="Google Sans"/>
            <w:color w:val="0000EE"/>
            <w:sz w:val="24"/>
            <w:szCs w:val="24"/>
            <w:u w:val="single"/>
            <w:lang w:val="en-US"/>
          </w:rPr>
          <w:t>https://richardturton.faculty.wvu.edu/files/d/119f32fe-e630-46c4-851e-a2b99a576391/magnetic_refrigerator.pdf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What is Magnetic Cooling? Explained | Okon Recycling, fecha de acceso: agosto 8, 2025, </w:t>
      </w:r>
      <w:hyperlink r:id="rId12">
        <w:r w:rsidRPr="002E1313">
          <w:rPr>
            <w:rFonts w:ascii="Google Sans" w:eastAsia="Google Sans" w:hAnsi="Google Sans" w:cs="Google Sans"/>
            <w:color w:val="0000EE"/>
            <w:sz w:val="24"/>
            <w:szCs w:val="24"/>
            <w:u w:val="single"/>
            <w:lang w:val="en-US"/>
          </w:rPr>
          <w:t>https://www.okonrecycling.com/cooling-system-recycling/chiller-recycling/magnetic-cooling/</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A Short Review on the Evolution of Magnetocaloric </w:t>
      </w:r>
      <w:proofErr w:type="gramStart"/>
      <w:r w:rsidRPr="002E1313">
        <w:rPr>
          <w:rFonts w:ascii="Google Sans" w:eastAsia="Google Sans" w:hAnsi="Google Sans" w:cs="Google Sans"/>
          <w:sz w:val="24"/>
          <w:szCs w:val="24"/>
          <w:lang w:val="en-US"/>
        </w:rPr>
        <w:t>La(</w:t>
      </w:r>
      <w:proofErr w:type="gramEnd"/>
      <w:r w:rsidRPr="002E1313">
        <w:rPr>
          <w:rFonts w:ascii="Google Sans" w:eastAsia="Google Sans" w:hAnsi="Google Sans" w:cs="Google Sans"/>
          <w:sz w:val="24"/>
          <w:szCs w:val="24"/>
          <w:lang w:val="en-US"/>
        </w:rPr>
        <w:t xml:space="preserve">Fe,Si)13 and Its Fabrication through Melt Spinning | ACS Omega, fecha de acceso: agosto 8, 2025, </w:t>
      </w:r>
      <w:hyperlink r:id="rId13">
        <w:r w:rsidRPr="002E1313">
          <w:rPr>
            <w:rFonts w:ascii="Google Sans" w:eastAsia="Google Sans" w:hAnsi="Google Sans" w:cs="Google Sans"/>
            <w:color w:val="0000EE"/>
            <w:sz w:val="24"/>
            <w:szCs w:val="24"/>
            <w:u w:val="single"/>
            <w:lang w:val="en-US"/>
          </w:rPr>
          <w:t>https://pubs.acs.org/doi/10.1021/acsomega.3c08622</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Magnetocaloric Coefficient and Magnetic Refrigeration - Stanford Advanced Materials, fecha de acceso: agosto 8, 2025, </w:t>
      </w:r>
      <w:hyperlink r:id="rId14">
        <w:r w:rsidRPr="002E1313">
          <w:rPr>
            <w:rFonts w:ascii="Google Sans" w:eastAsia="Google Sans" w:hAnsi="Google Sans" w:cs="Google Sans"/>
            <w:color w:val="0000EE"/>
            <w:sz w:val="24"/>
            <w:szCs w:val="24"/>
            <w:u w:val="single"/>
            <w:lang w:val="en-US"/>
          </w:rPr>
          <w:t>https://www.samaterials.com/content/magnetocaloric-coefficient-and-magnetic-refrigeration.html</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lastRenderedPageBreak/>
        <w:t>Magnetocaloric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effect</w:t>
      </w:r>
      <w:proofErr w:type="spellEnd"/>
      <w:r>
        <w:rPr>
          <w:rFonts w:ascii="Google Sans" w:eastAsia="Google Sans" w:hAnsi="Google Sans" w:cs="Google Sans"/>
          <w:sz w:val="24"/>
          <w:szCs w:val="24"/>
        </w:rPr>
        <w:t xml:space="preserve"> - Wikipedia, fecha de acceso: agosto 8, 2025, </w:t>
      </w:r>
      <w:hyperlink r:id="rId15">
        <w:r>
          <w:rPr>
            <w:rFonts w:ascii="Google Sans" w:eastAsia="Google Sans" w:hAnsi="Google Sans" w:cs="Google Sans"/>
            <w:color w:val="0000EE"/>
            <w:sz w:val="24"/>
            <w:szCs w:val="24"/>
            <w:u w:val="single"/>
          </w:rPr>
          <w:t>https://en.wikipedia.org/wiki/Magnetocaloric_effect</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Technology Tuesday: Magnetic Refrigeration — SJVCEO, fecha de acceso: agosto 8, 2025, </w:t>
      </w:r>
      <w:hyperlink r:id="rId16">
        <w:r w:rsidRPr="002E1313">
          <w:rPr>
            <w:rFonts w:ascii="Google Sans" w:eastAsia="Google Sans" w:hAnsi="Google Sans" w:cs="Google Sans"/>
            <w:color w:val="0000EE"/>
            <w:sz w:val="24"/>
            <w:szCs w:val="24"/>
            <w:u w:val="single"/>
            <w:lang w:val="en-US"/>
          </w:rPr>
          <w:t>https://www.sjvceo.com/blogee/2019/10/24/technology-tuesday-magnetic-refrigeration-e6l9b</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Scale-up of Magnetocaloric Materials for High Efficiency Refrigeration Final Project Report, fecha de acceso: agosto 8, 2025, </w:t>
      </w:r>
      <w:hyperlink r:id="rId17">
        <w:r w:rsidRPr="002E1313">
          <w:rPr>
            <w:rFonts w:ascii="Google Sans" w:eastAsia="Google Sans" w:hAnsi="Google Sans" w:cs="Google Sans"/>
            <w:color w:val="0000EE"/>
            <w:sz w:val="24"/>
            <w:szCs w:val="24"/>
            <w:u w:val="single"/>
            <w:lang w:val="en-US"/>
          </w:rPr>
          <w:t>https://www.energy.ca.gov/sites/default/files/2024-06/CEC-500-2024-057_0.pdf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For Refrigeration Problems, a Magnetically Attractive Solution | NIST, fecha de acceso: agosto 8, 2025, </w:t>
      </w:r>
      <w:hyperlink r:id="rId18">
        <w:r w:rsidRPr="002E1313">
          <w:rPr>
            <w:rFonts w:ascii="Google Sans" w:eastAsia="Google Sans" w:hAnsi="Google Sans" w:cs="Google Sans"/>
            <w:color w:val="0000EE"/>
            <w:sz w:val="24"/>
            <w:szCs w:val="24"/>
            <w:u w:val="single"/>
            <w:lang w:val="en-US"/>
          </w:rPr>
          <w:t>https://www.nist.gov/news-events/news/2009/01/refrigeration-problems-magnetically-attractive-solution</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t>Magnetic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refrigeration</w:t>
      </w:r>
      <w:proofErr w:type="spellEnd"/>
      <w:r>
        <w:rPr>
          <w:rFonts w:ascii="Google Sans" w:eastAsia="Google Sans" w:hAnsi="Google Sans" w:cs="Google Sans"/>
          <w:sz w:val="24"/>
          <w:szCs w:val="24"/>
        </w:rPr>
        <w:t xml:space="preserve">, fecha de acceso: agosto 8, 2025, </w:t>
      </w:r>
      <w:hyperlink r:id="rId19">
        <w:r>
          <w:rPr>
            <w:rFonts w:ascii="Google Sans" w:eastAsia="Google Sans" w:hAnsi="Google Sans" w:cs="Google Sans"/>
            <w:color w:val="0000EE"/>
            <w:sz w:val="24"/>
            <w:szCs w:val="24"/>
            <w:u w:val="single"/>
          </w:rPr>
          <w:t>https://kawa.ac.ug/kawa-eLearning/content/physics/wikislice-physics-en/files/articles/Magnetic_cooling.htm</w:t>
        </w:r>
      </w:hyperlink>
    </w:p>
    <w:p w:rsidR="00DB3014" w:rsidRDefault="00000000">
      <w:pPr>
        <w:numPr>
          <w:ilvl w:val="0"/>
          <w:numId w:val="14"/>
        </w:numPr>
        <w:pBdr>
          <w:top w:val="nil"/>
          <w:left w:val="nil"/>
          <w:bottom w:val="nil"/>
          <w:right w:val="nil"/>
          <w:between w:val="nil"/>
        </w:pBdr>
      </w:pPr>
      <w:r>
        <w:rPr>
          <w:rFonts w:ascii="Google Sans" w:eastAsia="Google Sans" w:hAnsi="Google Sans" w:cs="Google Sans"/>
          <w:sz w:val="24"/>
          <w:szCs w:val="24"/>
        </w:rPr>
        <w:t xml:space="preserve">en.wikipedia.org, fecha de acceso: agosto 8, 2025, </w:t>
      </w:r>
      <w:hyperlink r:id="rId20" w:anchor=":~:text=Thermodynamic%20cycle,-Analogy%20between%20magnetic&amp;text=The%20cycle%20is%20performed%20as,increases%20and%20decreases%20in%20pressure.">
        <w:r>
          <w:rPr>
            <w:rFonts w:ascii="Google Sans" w:eastAsia="Google Sans" w:hAnsi="Google Sans" w:cs="Google Sans"/>
            <w:color w:val="0000EE"/>
            <w:sz w:val="24"/>
            <w:szCs w:val="24"/>
            <w:u w:val="single"/>
          </w:rPr>
          <w:t>https://en.wikipedia.org/wiki/Magnetocaloric_effect#:~:text=Thermodynamic%20cycle,-Analogy%20between%20magnetic&amp;text=The%20cycle%20is%20performed%20as,increases%20and%20decreases%20in%20pressure.</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Analysis of Thermodynamic Cycles of Heat Pumps and Magnetic Refrigerators Using Mathematical Models - MDPI, fecha de acceso: agosto 8, 2025, </w:t>
      </w:r>
      <w:hyperlink r:id="rId21">
        <w:r w:rsidRPr="002E1313">
          <w:rPr>
            <w:rFonts w:ascii="Google Sans" w:eastAsia="Google Sans" w:hAnsi="Google Sans" w:cs="Google Sans"/>
            <w:color w:val="0000EE"/>
            <w:sz w:val="24"/>
            <w:szCs w:val="24"/>
            <w:u w:val="single"/>
            <w:lang w:val="en-US"/>
          </w:rPr>
          <w:t>https://www.mdpi.com/1996-1073/14/4/909</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Simplified Modeling of Active Magnetic Regenerators - UVIC, fecha de acceso: agosto 8, 2025, </w:t>
      </w:r>
      <w:hyperlink r:id="rId22">
        <w:r w:rsidRPr="002E1313">
          <w:rPr>
            <w:rFonts w:ascii="Google Sans" w:eastAsia="Google Sans" w:hAnsi="Google Sans" w:cs="Google Sans"/>
            <w:color w:val="0000EE"/>
            <w:sz w:val="24"/>
            <w:szCs w:val="24"/>
            <w:u w:val="single"/>
            <w:lang w:val="en-US"/>
          </w:rPr>
          <w:t>https://www.uvic.ca/research/centres/iesvic/assets/docs/dissertations/Dissertation-Burdyny.pdf</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t>Disadvantages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of</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Magnetocaloric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Refrigeration</w:t>
      </w:r>
      <w:proofErr w:type="spellEnd"/>
      <w:r>
        <w:rPr>
          <w:rFonts w:ascii="Google Sans" w:eastAsia="Google Sans" w:hAnsi="Google Sans" w:cs="Google Sans"/>
          <w:sz w:val="24"/>
          <w:szCs w:val="24"/>
        </w:rPr>
        <w:t xml:space="preserve"> | PDF - Scribd, fecha de acceso: agosto 8, 2025, </w:t>
      </w:r>
      <w:hyperlink r:id="rId23">
        <w:r>
          <w:rPr>
            <w:rFonts w:ascii="Google Sans" w:eastAsia="Google Sans" w:hAnsi="Google Sans" w:cs="Google Sans"/>
            <w:color w:val="0000EE"/>
            <w:sz w:val="24"/>
            <w:szCs w:val="24"/>
            <w:u w:val="single"/>
          </w:rPr>
          <w:t>https://www.scribd.com/doc/174712126/Disadvantages-of-Magnetocaloric-Refrigeration</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The influence of the magnetic field on the performance of an active ..., fecha de acceso: agosto 8, 2025, </w:t>
      </w:r>
      <w:hyperlink r:id="rId24">
        <w:r w:rsidRPr="002E1313">
          <w:rPr>
            <w:rFonts w:ascii="Google Sans" w:eastAsia="Google Sans" w:hAnsi="Google Sans" w:cs="Google Sans"/>
            <w:color w:val="0000EE"/>
            <w:sz w:val="24"/>
            <w:szCs w:val="24"/>
            <w:u w:val="single"/>
            <w:lang w:val="en-US"/>
          </w:rPr>
          <w:t>https://orbit.dtu.dk/files/100219238/The_influence_of_the_magnetic_field_on_the_performance_of_an_active_magnetic_regenerator_AMR_.pdf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Cycles – An overview of research at UVic | AMRLab, fecha de acceso: agosto 8, 2025, </w:t>
      </w:r>
      <w:hyperlink r:id="rId25">
        <w:r w:rsidRPr="002E1313">
          <w:rPr>
            <w:rFonts w:ascii="Google Sans" w:eastAsia="Google Sans" w:hAnsi="Google Sans" w:cs="Google Sans"/>
            <w:color w:val="0000EE"/>
            <w:sz w:val="24"/>
            <w:szCs w:val="24"/>
            <w:u w:val="single"/>
            <w:lang w:val="en-US"/>
          </w:rPr>
          <w:t>https://onlineacademiccommunity.uvic.ca/AMRLab/2017/01/07/magnetic-cycles-an-overview-of-research-at-uvic/</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1 Active Magnetic Regenerative Cooling with Smaller Magnets ..., fecha de acceso: agosto 8, 2025, </w:t>
      </w:r>
      <w:hyperlink r:id="rId26">
        <w:r w:rsidRPr="002E1313">
          <w:rPr>
            <w:rFonts w:ascii="Google Sans" w:eastAsia="Google Sans" w:hAnsi="Google Sans" w:cs="Google Sans"/>
            <w:color w:val="0000EE"/>
            <w:sz w:val="24"/>
            <w:szCs w:val="24"/>
            <w:u w:val="single"/>
            <w:lang w:val="en-US"/>
          </w:rPr>
          <w:t>https://www.osti.gov/servlets/purl/1765705</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Exploring the efficiency potential for an active magnetic regenerator, fecha de acceso: agosto 8, 2025, </w:t>
      </w:r>
      <w:hyperlink r:id="rId27">
        <w:r w:rsidRPr="002E1313">
          <w:rPr>
            <w:rFonts w:ascii="Google Sans" w:eastAsia="Google Sans" w:hAnsi="Google Sans" w:cs="Google Sans"/>
            <w:color w:val="0000EE"/>
            <w:sz w:val="24"/>
            <w:szCs w:val="24"/>
            <w:u w:val="single"/>
            <w:lang w:val="en-US"/>
          </w:rPr>
          <w:t>https://orbit.dtu.dk/files/134309779/Exploring_the_efficiency.pdf</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lastRenderedPageBreak/>
        <w:t>Chapter</w:t>
      </w:r>
      <w:proofErr w:type="spellEnd"/>
      <w:r>
        <w:rPr>
          <w:rFonts w:ascii="Google Sans" w:eastAsia="Google Sans" w:hAnsi="Google Sans" w:cs="Google Sans"/>
          <w:sz w:val="24"/>
          <w:szCs w:val="24"/>
        </w:rPr>
        <w:t xml:space="preserve"> 1 </w:t>
      </w:r>
      <w:proofErr w:type="spellStart"/>
      <w:r>
        <w:rPr>
          <w:rFonts w:ascii="Google Sans" w:eastAsia="Google Sans" w:hAnsi="Google Sans" w:cs="Google Sans"/>
          <w:sz w:val="24"/>
          <w:szCs w:val="24"/>
        </w:rPr>
        <w:t>The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magnetocaloric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effect</w:t>
      </w:r>
      <w:proofErr w:type="spellEnd"/>
      <w:r>
        <w:rPr>
          <w:rFonts w:ascii="Google Sans" w:eastAsia="Google Sans" w:hAnsi="Google Sans" w:cs="Google Sans"/>
          <w:sz w:val="24"/>
          <w:szCs w:val="24"/>
        </w:rPr>
        <w:t xml:space="preserve">, fecha de acceso: agosto 8, 2025, </w:t>
      </w:r>
      <w:hyperlink r:id="rId28">
        <w:r>
          <w:rPr>
            <w:rFonts w:ascii="Google Sans" w:eastAsia="Google Sans" w:hAnsi="Google Sans" w:cs="Google Sans"/>
            <w:color w:val="0000EE"/>
            <w:sz w:val="24"/>
            <w:szCs w:val="24"/>
            <w:u w:val="single"/>
          </w:rPr>
          <w:t>https://www.tdx.cat/bitstream/handle/10803/1789/1.CHAPTER_1.pdf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Magnetocaloric materials for hydrogen liquefaction - The Innovation, fecha de acceso: agosto 8, 2025, </w:t>
      </w:r>
      <w:hyperlink r:id="rId29">
        <w:r w:rsidRPr="002E1313">
          <w:rPr>
            <w:rFonts w:ascii="Google Sans" w:eastAsia="Google Sans" w:hAnsi="Google Sans" w:cs="Google Sans"/>
            <w:color w:val="0000EE"/>
            <w:sz w:val="24"/>
            <w:szCs w:val="24"/>
            <w:u w:val="single"/>
            <w:lang w:val="en-US"/>
          </w:rPr>
          <w:t>https://www.the-innovation.org/article/doi/10.59717/j.xinn-mater.2023.100045</w:t>
        </w:r>
      </w:hyperlink>
    </w:p>
    <w:p w:rsidR="00DB3014" w:rsidRDefault="00000000">
      <w:pPr>
        <w:numPr>
          <w:ilvl w:val="0"/>
          <w:numId w:val="14"/>
        </w:numPr>
        <w:pBdr>
          <w:top w:val="nil"/>
          <w:left w:val="nil"/>
          <w:bottom w:val="nil"/>
          <w:right w:val="nil"/>
          <w:between w:val="nil"/>
        </w:pBdr>
      </w:pPr>
      <w:r w:rsidRPr="002E1313">
        <w:rPr>
          <w:rFonts w:ascii="Google Sans" w:eastAsia="Google Sans" w:hAnsi="Google Sans" w:cs="Google Sans"/>
          <w:sz w:val="24"/>
          <w:szCs w:val="24"/>
          <w:lang w:val="en-US"/>
        </w:rPr>
        <w:t xml:space="preserve">Constraints on the adiabatic temperature change in magnetocaloric materials | Phys. </w:t>
      </w:r>
      <w:r>
        <w:rPr>
          <w:rFonts w:ascii="Google Sans" w:eastAsia="Google Sans" w:hAnsi="Google Sans" w:cs="Google Sans"/>
          <w:sz w:val="24"/>
          <w:szCs w:val="24"/>
        </w:rPr>
        <w:t xml:space="preserve">Rev. B, fecha de acceso: agosto 8, 2025, </w:t>
      </w:r>
      <w:hyperlink r:id="rId30">
        <w:r>
          <w:rPr>
            <w:rFonts w:ascii="Google Sans" w:eastAsia="Google Sans" w:hAnsi="Google Sans" w:cs="Google Sans"/>
            <w:color w:val="0000EE"/>
            <w:sz w:val="24"/>
            <w:szCs w:val="24"/>
            <w:u w:val="single"/>
          </w:rPr>
          <w:t>https://link.aps.org/doi/10.1103/PhysRevB.81.054423</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101: Heat Transfer Basics - Number Analytics, fecha de acceso: agosto 8, 2025, </w:t>
      </w:r>
      <w:hyperlink r:id="rId31">
        <w:r w:rsidRPr="002E1313">
          <w:rPr>
            <w:rFonts w:ascii="Google Sans" w:eastAsia="Google Sans" w:hAnsi="Google Sans" w:cs="Google Sans"/>
            <w:color w:val="0000EE"/>
            <w:sz w:val="24"/>
            <w:szCs w:val="24"/>
            <w:u w:val="single"/>
            <w:lang w:val="en-US"/>
          </w:rPr>
          <w:t>https://www.numberanalytics.com/blog/magnetic-refrigeration-heat-transfer-basics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Market Size, Growth &amp; Outlook 2025 – 2030, fecha de acceso: agosto 8, 2025, </w:t>
      </w:r>
      <w:hyperlink r:id="rId32">
        <w:r w:rsidRPr="002E1313">
          <w:rPr>
            <w:rFonts w:ascii="Google Sans" w:eastAsia="Google Sans" w:hAnsi="Google Sans" w:cs="Google Sans"/>
            <w:color w:val="0000EE"/>
            <w:sz w:val="24"/>
            <w:szCs w:val="24"/>
            <w:u w:val="single"/>
            <w:lang w:val="en-US"/>
          </w:rPr>
          <w:t>https://www.mordorintelligence.com/industry-reports/magnetic-refrigeration-market</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t>Magnetic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Cooling</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RefIndustry</w:t>
      </w:r>
      <w:proofErr w:type="spellEnd"/>
      <w:r>
        <w:rPr>
          <w:rFonts w:ascii="Google Sans" w:eastAsia="Google Sans" w:hAnsi="Google Sans" w:cs="Google Sans"/>
          <w:sz w:val="24"/>
          <w:szCs w:val="24"/>
        </w:rPr>
        <w:t xml:space="preserve">, fecha de acceso: agosto 8, 2025, </w:t>
      </w:r>
      <w:hyperlink r:id="rId33">
        <w:r>
          <w:rPr>
            <w:rFonts w:ascii="Google Sans" w:eastAsia="Google Sans" w:hAnsi="Google Sans" w:cs="Google Sans"/>
            <w:color w:val="0000EE"/>
            <w:sz w:val="24"/>
            <w:szCs w:val="24"/>
            <w:u w:val="single"/>
          </w:rPr>
          <w:t>https://refindustry.com/articles/articles/magnetic-cooling/</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Magnetocaloric effect and applied refrigeration performance of La(Fe,Si)13-based compounds - ResearchGate, fecha de acceso: agosto 8, 2025, </w:t>
      </w:r>
      <w:hyperlink r:id="rId34">
        <w:r w:rsidRPr="002E1313">
          <w:rPr>
            <w:rFonts w:ascii="Google Sans" w:eastAsia="Google Sans" w:hAnsi="Google Sans" w:cs="Google Sans"/>
            <w:color w:val="0000EE"/>
            <w:sz w:val="24"/>
            <w:szCs w:val="24"/>
            <w:u w:val="single"/>
            <w:lang w:val="en-US"/>
          </w:rPr>
          <w:t>https://www.researchgate.net/publication/381074382_Magnetocaloric_effect_and_applied_refrigeration_performance_of_LaFeSi13-based_compounds</w:t>
        </w:r>
      </w:hyperlink>
    </w:p>
    <w:p w:rsidR="00DB3014" w:rsidRDefault="00000000">
      <w:pPr>
        <w:numPr>
          <w:ilvl w:val="0"/>
          <w:numId w:val="14"/>
        </w:numPr>
        <w:pBdr>
          <w:top w:val="nil"/>
          <w:left w:val="nil"/>
          <w:bottom w:val="nil"/>
          <w:right w:val="nil"/>
          <w:between w:val="nil"/>
        </w:pBdr>
      </w:pPr>
      <w:r>
        <w:rPr>
          <w:rFonts w:ascii="Google Sans" w:eastAsia="Google Sans" w:hAnsi="Google Sans" w:cs="Google Sans"/>
          <w:sz w:val="24"/>
          <w:szCs w:val="24"/>
        </w:rPr>
        <w:t xml:space="preserve">ece.engineering.gwu.edu, fecha de acceso: agosto 8, 2025, </w:t>
      </w:r>
      <w:hyperlink r:id="rId35" w:anchor=":~:text=Answer%3A%20Some%20of%20the%20main,sufficiently%20wide%20operating%20temperature%20range.">
        <w:r>
          <w:rPr>
            <w:rFonts w:ascii="Google Sans" w:eastAsia="Google Sans" w:hAnsi="Google Sans" w:cs="Google Sans"/>
            <w:color w:val="0000EE"/>
            <w:sz w:val="24"/>
            <w:szCs w:val="24"/>
            <w:u w:val="single"/>
          </w:rPr>
          <w:t>https://ece.engineering.gwu.edu/magnetic-refrigeration-technology#:~:text=Answer%3A%20Some%20of%20the%20main,sufficiently%20wide%20operating%20temperature%20range.</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Solutions to obstacles in the commercialization of room-temperature magnetic refrigeration, fecha de acceso: agosto 8, 2025, </w:t>
      </w:r>
      <w:hyperlink r:id="rId36">
        <w:r w:rsidRPr="002E1313">
          <w:rPr>
            <w:rFonts w:ascii="Google Sans" w:eastAsia="Google Sans" w:hAnsi="Google Sans" w:cs="Google Sans"/>
            <w:color w:val="0000EE"/>
            <w:sz w:val="24"/>
            <w:szCs w:val="24"/>
            <w:u w:val="single"/>
            <w:lang w:val="en-US"/>
          </w:rPr>
          <w:t>https://ideas.repec.org/a/eee/rensus/v143y2021ics1364032121002252.html</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Materials Challenges for High Performance Magnetocaloric ..., fecha de acceso: agosto 8, 2025, </w:t>
      </w:r>
      <w:hyperlink r:id="rId37">
        <w:r w:rsidRPr="002E1313">
          <w:rPr>
            <w:rFonts w:ascii="Google Sans" w:eastAsia="Google Sans" w:hAnsi="Google Sans" w:cs="Google Sans"/>
            <w:color w:val="0000EE"/>
            <w:sz w:val="24"/>
            <w:szCs w:val="24"/>
            <w:u w:val="single"/>
            <w:lang w:val="en-US"/>
          </w:rPr>
          <w:t>https://www.researchgate.net/publication/264404676_Materials_Challenges_for_High_Performance_Magnetocaloric_Refrigeration_Devices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Novel Design of La(Fe,Si)13 Alloys Towards High Magnetic Refrigeration Performance | Request PDF - ResearchGate, fecha de acceso: agosto 8, 2025, </w:t>
      </w:r>
      <w:hyperlink r:id="rId38">
        <w:r w:rsidRPr="002E1313">
          <w:rPr>
            <w:rFonts w:ascii="Google Sans" w:eastAsia="Google Sans" w:hAnsi="Google Sans" w:cs="Google Sans"/>
            <w:color w:val="0000EE"/>
            <w:sz w:val="24"/>
            <w:szCs w:val="24"/>
            <w:u w:val="single"/>
            <w:lang w:val="en-US"/>
          </w:rPr>
          <w:t>https://www.researchgate.net/publication/44639989_Novel_Design_of_LaFeSi13_Alloys_Towards_High_Magnetic_Refrigeration_Performance</w:t>
        </w:r>
      </w:hyperlink>
    </w:p>
    <w:p w:rsidR="00DB3014" w:rsidRDefault="00000000">
      <w:pPr>
        <w:numPr>
          <w:ilvl w:val="0"/>
          <w:numId w:val="14"/>
        </w:numPr>
        <w:pBdr>
          <w:top w:val="nil"/>
          <w:left w:val="nil"/>
          <w:bottom w:val="nil"/>
          <w:right w:val="nil"/>
          <w:between w:val="nil"/>
        </w:pBdr>
      </w:pPr>
      <w:r w:rsidRPr="002E1313">
        <w:rPr>
          <w:rFonts w:ascii="Google Sans" w:eastAsia="Google Sans" w:hAnsi="Google Sans" w:cs="Google Sans"/>
          <w:sz w:val="24"/>
          <w:szCs w:val="24"/>
          <w:lang w:val="en-US"/>
        </w:rPr>
        <w:t xml:space="preserve">New High Entropy Alloys for Magnetocaloric Applications. </w:t>
      </w:r>
      <w:proofErr w:type="spellStart"/>
      <w:r>
        <w:rPr>
          <w:rFonts w:ascii="Google Sans" w:eastAsia="Google Sans" w:hAnsi="Google Sans" w:cs="Google Sans"/>
          <w:sz w:val="24"/>
          <w:szCs w:val="24"/>
        </w:rPr>
        <w:t>Thesis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advisors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ECMetAC</w:t>
      </w:r>
      <w:proofErr w:type="spellEnd"/>
      <w:r>
        <w:rPr>
          <w:rFonts w:ascii="Google Sans" w:eastAsia="Google Sans" w:hAnsi="Google Sans" w:cs="Google Sans"/>
          <w:sz w:val="24"/>
          <w:szCs w:val="24"/>
        </w:rPr>
        <w:t xml:space="preserve">, fecha de acceso: agosto 8, 2025, </w:t>
      </w:r>
      <w:hyperlink r:id="rId39">
        <w:r>
          <w:rPr>
            <w:rFonts w:ascii="Google Sans" w:eastAsia="Google Sans" w:hAnsi="Google Sans" w:cs="Google Sans"/>
            <w:color w:val="0000EE"/>
            <w:sz w:val="24"/>
            <w:szCs w:val="24"/>
            <w:u w:val="single"/>
          </w:rPr>
          <w:t>https://www.ecmetac.eu/images/PhD-offer-LUE.pdf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Low-Cost Magnetocaloric Materials Discovery - Hydrogen Program, fecha de acceso: agosto 8, 2025, </w:t>
      </w:r>
      <w:hyperlink r:id="rId40">
        <w:r w:rsidRPr="002E1313">
          <w:rPr>
            <w:rFonts w:ascii="Google Sans" w:eastAsia="Google Sans" w:hAnsi="Google Sans" w:cs="Google Sans"/>
            <w:color w:val="0000EE"/>
            <w:sz w:val="24"/>
            <w:szCs w:val="24"/>
            <w:u w:val="single"/>
            <w:lang w:val="en-US"/>
          </w:rPr>
          <w:t>https://www.hydrogen.energy.gov/docs/hydrogenprogramlibraries/pdfs/progress19/ins_in012_ihnfeldt_2019.pdf?sfvrsn=421de0c2_1</w:t>
        </w:r>
      </w:hyperlink>
    </w:p>
    <w:p w:rsidR="00DB3014" w:rsidRDefault="00000000">
      <w:pPr>
        <w:numPr>
          <w:ilvl w:val="0"/>
          <w:numId w:val="14"/>
        </w:numPr>
        <w:pBdr>
          <w:top w:val="nil"/>
          <w:left w:val="nil"/>
          <w:bottom w:val="nil"/>
          <w:right w:val="nil"/>
          <w:between w:val="nil"/>
        </w:pBdr>
      </w:pPr>
      <w:r>
        <w:rPr>
          <w:rFonts w:ascii="Google Sans" w:eastAsia="Google Sans" w:hAnsi="Google Sans" w:cs="Google Sans"/>
          <w:sz w:val="24"/>
          <w:szCs w:val="24"/>
        </w:rPr>
        <w:t xml:space="preserve">patents.google.com, fecha de acceso: agosto 8, 2025, </w:t>
      </w:r>
      <w:hyperlink r:id="rId41" w:anchor=":~:text=Among%20many%20magnetocaloric%20materials%2C%20lanthanum,the%20most%20promising%20magnetocaloric%20materials.">
        <w:r>
          <w:rPr>
            <w:rFonts w:ascii="Google Sans" w:eastAsia="Google Sans" w:hAnsi="Google Sans" w:cs="Google Sans"/>
            <w:color w:val="0000EE"/>
            <w:sz w:val="24"/>
            <w:szCs w:val="24"/>
            <w:u w:val="single"/>
          </w:rPr>
          <w:t>https://patents.google.com/patent/CN105957672A/en#:~:text=Among%20many%20magnetocaloric%20materials%2C%20lanthanum,the%20most%20promising%20magnetocaloric%20materials.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Tuning the Magnetocaloric Properties of the </w:t>
      </w:r>
      <w:proofErr w:type="gramStart"/>
      <w:r w:rsidRPr="002E1313">
        <w:rPr>
          <w:rFonts w:ascii="Google Sans" w:eastAsia="Google Sans" w:hAnsi="Google Sans" w:cs="Google Sans"/>
          <w:sz w:val="24"/>
          <w:szCs w:val="24"/>
          <w:lang w:val="en-US"/>
        </w:rPr>
        <w:t>La(</w:t>
      </w:r>
      <w:proofErr w:type="gramEnd"/>
      <w:r w:rsidRPr="002E1313">
        <w:rPr>
          <w:rFonts w:ascii="Google Sans" w:eastAsia="Google Sans" w:hAnsi="Google Sans" w:cs="Google Sans"/>
          <w:sz w:val="24"/>
          <w:szCs w:val="24"/>
          <w:lang w:val="en-US"/>
        </w:rPr>
        <w:t xml:space="preserve">Fe,Si)13 Compounds by Chemical Substitution and Light Element Insertion - MDPI, fecha de acceso: agosto 8, 2025, </w:t>
      </w:r>
      <w:hyperlink r:id="rId42">
        <w:r w:rsidRPr="002E1313">
          <w:rPr>
            <w:rFonts w:ascii="Google Sans" w:eastAsia="Google Sans" w:hAnsi="Google Sans" w:cs="Google Sans"/>
            <w:color w:val="0000EE"/>
            <w:sz w:val="24"/>
            <w:szCs w:val="24"/>
            <w:u w:val="single"/>
            <w:lang w:val="en-US"/>
          </w:rPr>
          <w:t>https://www.mdpi.com/2312-7481/7/1/13</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Opportunities and challenges of additive manufacturing toward magnetic refrigeration, fecha de acceso: agosto 8, 2025, </w:t>
      </w:r>
      <w:hyperlink r:id="rId43">
        <w:r w:rsidRPr="002E1313">
          <w:rPr>
            <w:rFonts w:ascii="Google Sans" w:eastAsia="Google Sans" w:hAnsi="Google Sans" w:cs="Google Sans"/>
            <w:color w:val="0000EE"/>
            <w:sz w:val="24"/>
            <w:szCs w:val="24"/>
            <w:u w:val="single"/>
            <w:lang w:val="en-US"/>
          </w:rPr>
          <w:t>https://www.the-innovation.org/article/doi/10.59717/j.xinn-mater.2023.100032</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A Short Review on the Evolution of Magnetocaloric La(Fe,Si) 13 and Its Fabrication through Melt Spinning - ResearchGate, fecha de acceso: agosto 8, 2025, </w:t>
      </w:r>
      <w:hyperlink r:id="rId44">
        <w:r w:rsidRPr="002E1313">
          <w:rPr>
            <w:rFonts w:ascii="Google Sans" w:eastAsia="Google Sans" w:hAnsi="Google Sans" w:cs="Google Sans"/>
            <w:color w:val="0000EE"/>
            <w:sz w:val="24"/>
            <w:szCs w:val="24"/>
            <w:u w:val="single"/>
            <w:lang w:val="en-US"/>
          </w:rPr>
          <w:t>https://www.researchgate.net/publication/378909892_A_Short_Review_on_the_Evolution_of_Magnetocaloric_LaFeSi_13_and_Its_Fabrication_through_Melt_Spinning</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Stability and Magnetocaloric Properties of Sintered La(Fe, Mn, Si)$_ ..., fecha de acceso: agosto 8, 2025, </w:t>
      </w:r>
      <w:hyperlink r:id="rId45">
        <w:r w:rsidRPr="002E1313">
          <w:rPr>
            <w:rFonts w:ascii="Google Sans" w:eastAsia="Google Sans" w:hAnsi="Google Sans" w:cs="Google Sans"/>
            <w:color w:val="0000EE"/>
            <w:sz w:val="24"/>
            <w:szCs w:val="24"/>
            <w:u w:val="single"/>
            <w:lang w:val="en-US"/>
          </w:rPr>
          <w:t>https://www.researchgate.net/publication/252060450_Stability_and_Magnetocaloric_Properties_of_Sintered_LaFe_Mn_Si_13H_z_Alloys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Mastering hysteresis in magnetocaloric materials | Philosophical Transactions of the Royal Society A: Mathematical, Physical and Engineering Sciences - Journals, fecha de acceso: agosto 8, 2025, </w:t>
      </w:r>
      <w:hyperlink r:id="rId46">
        <w:r w:rsidRPr="002E1313">
          <w:rPr>
            <w:rFonts w:ascii="Google Sans" w:eastAsia="Google Sans" w:hAnsi="Google Sans" w:cs="Google Sans"/>
            <w:color w:val="0000EE"/>
            <w:sz w:val="24"/>
            <w:szCs w:val="24"/>
            <w:u w:val="single"/>
            <w:lang w:val="en-US"/>
          </w:rPr>
          <w:t>https://royalsocietypublishing.org/doi/10.1098/rsta.2015.0308</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t>LaFeSi</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Functional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Materials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Materialwissenschaft</w:t>
      </w:r>
      <w:proofErr w:type="spellEnd"/>
      <w:r>
        <w:rPr>
          <w:rFonts w:ascii="Google Sans" w:eastAsia="Google Sans" w:hAnsi="Google Sans" w:cs="Google Sans"/>
          <w:sz w:val="24"/>
          <w:szCs w:val="24"/>
        </w:rPr>
        <w:t xml:space="preserve"> – TU Darmstadt, fecha de acceso: agosto 8, 2025, </w:t>
      </w:r>
      <w:hyperlink r:id="rId47">
        <w:r>
          <w:rPr>
            <w:rFonts w:ascii="Google Sans" w:eastAsia="Google Sans" w:hAnsi="Google Sans" w:cs="Google Sans"/>
            <w:color w:val="0000EE"/>
            <w:sz w:val="24"/>
            <w:szCs w:val="24"/>
            <w:u w:val="single"/>
          </w:rPr>
          <w:t>https://www.mawi.tu-darmstadt.de/fm/research_fm/research_topics_fm/magnetocaloric_materials_fm/lafesi/lafesi.en.jsp</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Stable Operation of Copper-Protected </w:t>
      </w:r>
      <w:proofErr w:type="gramStart"/>
      <w:r w:rsidRPr="002E1313">
        <w:rPr>
          <w:rFonts w:ascii="Google Sans" w:eastAsia="Google Sans" w:hAnsi="Google Sans" w:cs="Google Sans"/>
          <w:sz w:val="24"/>
          <w:szCs w:val="24"/>
          <w:lang w:val="en-US"/>
        </w:rPr>
        <w:t>La(</w:t>
      </w:r>
      <w:proofErr w:type="gramEnd"/>
      <w:r w:rsidRPr="002E1313">
        <w:rPr>
          <w:rFonts w:ascii="Google Sans" w:eastAsia="Google Sans" w:hAnsi="Google Sans" w:cs="Google Sans"/>
          <w:sz w:val="24"/>
          <w:szCs w:val="24"/>
          <w:lang w:val="en-US"/>
        </w:rPr>
        <w:t xml:space="preserve">FeMnSi)13Hy Regenerators in a Magnetic Cooling Unit - ACS Publications, fecha de acceso: agosto 8, 2025, </w:t>
      </w:r>
      <w:hyperlink r:id="rId48">
        <w:r w:rsidRPr="002E1313">
          <w:rPr>
            <w:rFonts w:ascii="Google Sans" w:eastAsia="Google Sans" w:hAnsi="Google Sans" w:cs="Google Sans"/>
            <w:color w:val="0000EE"/>
            <w:sz w:val="24"/>
            <w:szCs w:val="24"/>
            <w:u w:val="single"/>
            <w:lang w:val="en-US"/>
          </w:rPr>
          <w:t>https://pubs.acs.org/doi/full/10.1021/acsaenm.4c00747</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Magnetocaloric La(Fe,Mn,Si)13hz Particles and Their Chemical Stability in Heat Transfer Fluids Employed in Magnetic Refrigeration | Request PDF - ResearchGate, fecha de acceso: agosto 8, 2025, </w:t>
      </w:r>
      <w:hyperlink r:id="rId49">
        <w:r w:rsidRPr="002E1313">
          <w:rPr>
            <w:rFonts w:ascii="Google Sans" w:eastAsia="Google Sans" w:hAnsi="Google Sans" w:cs="Google Sans"/>
            <w:color w:val="0000EE"/>
            <w:sz w:val="24"/>
            <w:szCs w:val="24"/>
            <w:u w:val="single"/>
            <w:lang w:val="en-US"/>
          </w:rPr>
          <w:t>https://www.researchgate.net/publication/367738541_Magnetocaloric_LaFeMnSi13hz_Particles_and_Their_Chemical_Stability_in_Heat_Transfer_Fluids_Employed_in_Magnetic_Refrigeration</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Unlocking the Potential of Magnetic Refrigeration: Investigating the Compatibility of the Ga-Based Liquid Metal with a La(Fe,Mn,Si)13Hz Magnetocaloric Material for Enhanced Long-Term Stability | ACS Omega - ACS Publications, fecha de acceso: agosto 8, 2025, </w:t>
      </w:r>
      <w:hyperlink r:id="rId50">
        <w:r w:rsidRPr="002E1313">
          <w:rPr>
            <w:rFonts w:ascii="Google Sans" w:eastAsia="Google Sans" w:hAnsi="Google Sans" w:cs="Google Sans"/>
            <w:color w:val="0000EE"/>
            <w:sz w:val="24"/>
            <w:szCs w:val="24"/>
            <w:u w:val="single"/>
            <w:lang w:val="en-US"/>
          </w:rPr>
          <w:t>https://pubs.acs.org/doi/10.1021/acsomega.3c06724</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Heusler Alloys and Magnetocaloric Effect - ResearchGate, fecha de acceso: agosto 8, 2025, </w:t>
      </w:r>
      <w:hyperlink r:id="rId51">
        <w:r w:rsidRPr="002E1313">
          <w:rPr>
            <w:rFonts w:ascii="Google Sans" w:eastAsia="Google Sans" w:hAnsi="Google Sans" w:cs="Google Sans"/>
            <w:color w:val="0000EE"/>
            <w:sz w:val="24"/>
            <w:szCs w:val="24"/>
            <w:u w:val="single"/>
            <w:lang w:val="en-US"/>
          </w:rPr>
          <w:t>https://www.researchgate.net/topic/Heusler-Alloys~Magnetocaloric-Effect/publications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Crystal Structure and Properties of Heusler Alloys: A Comprehensive Review - </w:t>
      </w:r>
      <w:r w:rsidRPr="002E1313">
        <w:rPr>
          <w:rFonts w:ascii="Google Sans" w:eastAsia="Google Sans" w:hAnsi="Google Sans" w:cs="Google Sans"/>
          <w:sz w:val="24"/>
          <w:szCs w:val="24"/>
          <w:lang w:val="en-US"/>
        </w:rPr>
        <w:lastRenderedPageBreak/>
        <w:t xml:space="preserve">MDPI, fecha de acceso: agosto 8, 2025, </w:t>
      </w:r>
      <w:hyperlink r:id="rId52">
        <w:r w:rsidRPr="002E1313">
          <w:rPr>
            <w:rFonts w:ascii="Google Sans" w:eastAsia="Google Sans" w:hAnsi="Google Sans" w:cs="Google Sans"/>
            <w:color w:val="0000EE"/>
            <w:sz w:val="24"/>
            <w:szCs w:val="24"/>
            <w:u w:val="single"/>
            <w:lang w:val="en-US"/>
          </w:rPr>
          <w:t>https://www.mdpi.com/2075-4701/14/6/688</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t>All</w:t>
      </w:r>
      <w:proofErr w:type="spellEnd"/>
      <w:r>
        <w:rPr>
          <w:rFonts w:ascii="Google Sans" w:eastAsia="Google Sans" w:hAnsi="Google Sans" w:cs="Google Sans"/>
          <w:sz w:val="24"/>
          <w:szCs w:val="24"/>
        </w:rPr>
        <w:t xml:space="preserve">-d-Metal </w:t>
      </w:r>
      <w:proofErr w:type="spellStart"/>
      <w:r>
        <w:rPr>
          <w:rFonts w:ascii="Google Sans" w:eastAsia="Google Sans" w:hAnsi="Google Sans" w:cs="Google Sans"/>
          <w:sz w:val="24"/>
          <w:szCs w:val="24"/>
        </w:rPr>
        <w:t>Heusler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Alloys</w:t>
      </w:r>
      <w:proofErr w:type="spellEnd"/>
      <w:r>
        <w:rPr>
          <w:rFonts w:ascii="Google Sans" w:eastAsia="Google Sans" w:hAnsi="Google Sans" w:cs="Google Sans"/>
          <w:sz w:val="24"/>
          <w:szCs w:val="24"/>
        </w:rPr>
        <w:t xml:space="preserve">: A </w:t>
      </w:r>
      <w:proofErr w:type="spellStart"/>
      <w:r>
        <w:rPr>
          <w:rFonts w:ascii="Google Sans" w:eastAsia="Google Sans" w:hAnsi="Google Sans" w:cs="Google Sans"/>
          <w:sz w:val="24"/>
          <w:szCs w:val="24"/>
        </w:rPr>
        <w:t>Review</w:t>
      </w:r>
      <w:proofErr w:type="spellEnd"/>
      <w:r>
        <w:rPr>
          <w:rFonts w:ascii="Google Sans" w:eastAsia="Google Sans" w:hAnsi="Google Sans" w:cs="Google Sans"/>
          <w:sz w:val="24"/>
          <w:szCs w:val="24"/>
        </w:rPr>
        <w:t xml:space="preserve"> - MDPI, fecha de acceso: agosto 8, 2025, </w:t>
      </w:r>
      <w:hyperlink r:id="rId53">
        <w:r>
          <w:rPr>
            <w:rFonts w:ascii="Google Sans" w:eastAsia="Google Sans" w:hAnsi="Google Sans" w:cs="Google Sans"/>
            <w:color w:val="0000EE"/>
            <w:sz w:val="24"/>
            <w:szCs w:val="24"/>
            <w:u w:val="single"/>
          </w:rPr>
          <w:t>https://www.mdpi.com/2075-4701/13/1/111</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Current perspective in magnetocaloric materials research - AIP Publishing, fecha de acceso: agosto 8, 2025, </w:t>
      </w:r>
      <w:hyperlink r:id="rId54">
        <w:r w:rsidRPr="002E1313">
          <w:rPr>
            <w:rFonts w:ascii="Google Sans" w:eastAsia="Google Sans" w:hAnsi="Google Sans" w:cs="Google Sans"/>
            <w:color w:val="0000EE"/>
            <w:sz w:val="24"/>
            <w:szCs w:val="24"/>
            <w:u w:val="single"/>
            <w:lang w:val="en-US"/>
          </w:rPr>
          <w:t>https://pubs.aip.org/aip/jap/article/133/4/040903/2866406/Current-perspective-in-magnetocaloric-materials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Review Paper </w:t>
      </w:r>
      <w:proofErr w:type="gramStart"/>
      <w:r w:rsidRPr="002E1313">
        <w:rPr>
          <w:rFonts w:ascii="Google Sans" w:eastAsia="Google Sans" w:hAnsi="Google Sans" w:cs="Google Sans"/>
          <w:sz w:val="24"/>
          <w:szCs w:val="24"/>
          <w:lang w:val="en-US"/>
        </w:rPr>
        <w:t>A</w:t>
      </w:r>
      <w:proofErr w:type="gramEnd"/>
      <w:r w:rsidRPr="002E1313">
        <w:rPr>
          <w:rFonts w:ascii="Google Sans" w:eastAsia="Google Sans" w:hAnsi="Google Sans" w:cs="Google Sans"/>
          <w:sz w:val="24"/>
          <w:szCs w:val="24"/>
          <w:lang w:val="en-US"/>
        </w:rPr>
        <w:t xml:space="preserve"> Short Review of Magnetocaloric Effect in Ni-Mn-Ga Heusler Alloy System - ISROSET, fecha de acceso: agosto 8, 2025, </w:t>
      </w:r>
      <w:hyperlink r:id="rId55">
        <w:r w:rsidRPr="002E1313">
          <w:rPr>
            <w:rFonts w:ascii="Google Sans" w:eastAsia="Google Sans" w:hAnsi="Google Sans" w:cs="Google Sans"/>
            <w:color w:val="0000EE"/>
            <w:sz w:val="24"/>
            <w:szCs w:val="24"/>
            <w:u w:val="single"/>
            <w:lang w:val="en-US"/>
          </w:rPr>
          <w:t>https://www.isroset.org/pub_paper/IJSRPAS/3-ISROSET-IJSRPAS-08819.pdf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Pushing the limits of magnetocaloric high-entropy alloys - Bohrium, fecha de acceso: agosto 8, 2025, </w:t>
      </w:r>
      <w:hyperlink r:id="rId56">
        <w:r w:rsidRPr="002E1313">
          <w:rPr>
            <w:rFonts w:ascii="Google Sans" w:eastAsia="Google Sans" w:hAnsi="Google Sans" w:cs="Google Sans"/>
            <w:color w:val="0000EE"/>
            <w:sz w:val="24"/>
            <w:szCs w:val="24"/>
            <w:u w:val="single"/>
            <w:lang w:val="en-US"/>
          </w:rPr>
          <w:t>https://www.bohrium.com/paper-details/pushing-the-limits-of-magnetocaloric-high-entropy-alloys/811899075820519425-2143</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(PDF) Review on magnetocaloric high-entropy alloys: Design and analysis methods, fecha de acceso: agosto 8, 2025, </w:t>
      </w:r>
      <w:hyperlink r:id="rId57">
        <w:r w:rsidRPr="002E1313">
          <w:rPr>
            <w:rFonts w:ascii="Google Sans" w:eastAsia="Google Sans" w:hAnsi="Google Sans" w:cs="Google Sans"/>
            <w:color w:val="0000EE"/>
            <w:sz w:val="24"/>
            <w:szCs w:val="24"/>
            <w:u w:val="single"/>
            <w:lang w:val="en-US"/>
          </w:rPr>
          <w:t>https://www.researchgate.net/publication/363497061_Review_on_magnetocaloric_high-entropy_alloys_Design_and_analysis_methods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Pushing the limits of magnetocaloric high-entropy alloys | APL Materials | AIP Publishing, fecha de acceso: agosto 8, 2025, </w:t>
      </w:r>
      <w:hyperlink r:id="rId58">
        <w:r w:rsidRPr="002E1313">
          <w:rPr>
            <w:rFonts w:ascii="Google Sans" w:eastAsia="Google Sans" w:hAnsi="Google Sans" w:cs="Google Sans"/>
            <w:color w:val="0000EE"/>
            <w:sz w:val="24"/>
            <w:szCs w:val="24"/>
            <w:u w:val="single"/>
            <w:lang w:val="en-US"/>
          </w:rPr>
          <w:t>https://pubs.aip.org/aip/apm/article/9/8/080702/123007/Pushing-the-limits-of-magnetocaloric-high-entropy</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 Apex Magnets Blog, fecha de acceso: agosto 8, 2025, </w:t>
      </w:r>
      <w:hyperlink r:id="rId59">
        <w:r w:rsidRPr="002E1313">
          <w:rPr>
            <w:rFonts w:ascii="Google Sans" w:eastAsia="Google Sans" w:hAnsi="Google Sans" w:cs="Google Sans"/>
            <w:color w:val="0000EE"/>
            <w:sz w:val="24"/>
            <w:szCs w:val="24"/>
            <w:u w:val="single"/>
            <w:lang w:val="en-US"/>
          </w:rPr>
          <w:t>https://www.apexmagnets.com/news-how-tos/magnetic-refrigeration-apex-magnets/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Review and comparison of magnet designs for magnetic refrigeration, fecha de acceso: agosto 8, 2025, </w:t>
      </w:r>
      <w:hyperlink r:id="rId60">
        <w:r w:rsidRPr="002E1313">
          <w:rPr>
            <w:rFonts w:ascii="Google Sans" w:eastAsia="Google Sans" w:hAnsi="Google Sans" w:cs="Google Sans"/>
            <w:color w:val="0000EE"/>
            <w:sz w:val="24"/>
            <w:szCs w:val="24"/>
            <w:u w:val="single"/>
            <w:lang w:val="en-US"/>
          </w:rPr>
          <w:t>https://orbit.dtu.dk/files/100219269/Review_and_comparison_of_magnet_designs_for_magnetic_refrigeration.pdf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with Recycled Permanent Magnets and Free Rare‐Earth Magnetocaloric La–Fe–Si - PMC, fecha de acceso: agosto 8, 2025, </w:t>
      </w:r>
      <w:hyperlink r:id="rId61">
        <w:r w:rsidRPr="002E1313">
          <w:rPr>
            <w:rFonts w:ascii="Google Sans" w:eastAsia="Google Sans" w:hAnsi="Google Sans" w:cs="Google Sans"/>
            <w:color w:val="0000EE"/>
            <w:sz w:val="24"/>
            <w:szCs w:val="24"/>
            <w:u w:val="single"/>
            <w:lang w:val="en-US"/>
          </w:rPr>
          <w:t>https://pmc.ncbi.nlm.nih.gov/articles/PMC7380313/</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Active magnetic regenerator performance enhancement using ..., fecha de acceso: agosto 8, 2025, </w:t>
      </w:r>
      <w:hyperlink r:id="rId62">
        <w:r w:rsidRPr="002E1313">
          <w:rPr>
            <w:rFonts w:ascii="Google Sans" w:eastAsia="Google Sans" w:hAnsi="Google Sans" w:cs="Google Sans"/>
            <w:color w:val="0000EE"/>
            <w:sz w:val="24"/>
            <w:szCs w:val="24"/>
            <w:u w:val="single"/>
            <w:lang w:val="en-US"/>
          </w:rPr>
          <w:t>https://www.researchgate.net/publication/243293402_Active_magnetic_regenerator_performance_enhancement_using_passive_magnetic_materials</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A Revolutionary, Disruptive Cooling ..., fecha de acceso: agosto 8, 2025, </w:t>
      </w:r>
      <w:hyperlink r:id="rId63">
        <w:r w:rsidRPr="002E1313">
          <w:rPr>
            <w:rFonts w:ascii="Google Sans" w:eastAsia="Google Sans" w:hAnsi="Google Sans" w:cs="Google Sans"/>
            <w:color w:val="0000EE"/>
            <w:sz w:val="24"/>
            <w:szCs w:val="24"/>
            <w:u w:val="single"/>
            <w:lang w:val="en-US"/>
          </w:rPr>
          <w:t>https://refindustry.com/articles/techguides/magnetic-refrigeration-revolutionizing-cooling-technology-with-the-magnetocaloric-effect/</w:t>
        </w:r>
      </w:hyperlink>
    </w:p>
    <w:p w:rsidR="00DB3014" w:rsidRDefault="00000000">
      <w:pPr>
        <w:numPr>
          <w:ilvl w:val="0"/>
          <w:numId w:val="14"/>
        </w:numPr>
        <w:pBdr>
          <w:top w:val="nil"/>
          <w:left w:val="nil"/>
          <w:bottom w:val="nil"/>
          <w:right w:val="nil"/>
          <w:between w:val="nil"/>
        </w:pBdr>
      </w:pPr>
      <w:r>
        <w:rPr>
          <w:rFonts w:ascii="Google Sans" w:eastAsia="Google Sans" w:hAnsi="Google Sans" w:cs="Google Sans"/>
          <w:sz w:val="24"/>
          <w:szCs w:val="24"/>
        </w:rPr>
        <w:t xml:space="preserve">MAGNOTHERM - </w:t>
      </w:r>
      <w:proofErr w:type="spellStart"/>
      <w:r>
        <w:rPr>
          <w:rFonts w:ascii="Google Sans" w:eastAsia="Google Sans" w:hAnsi="Google Sans" w:cs="Google Sans"/>
          <w:sz w:val="24"/>
          <w:szCs w:val="24"/>
        </w:rPr>
        <w:t>Refrigerant</w:t>
      </w:r>
      <w:proofErr w:type="spellEnd"/>
      <w:r>
        <w:rPr>
          <w:rFonts w:ascii="Google Sans" w:eastAsia="Google Sans" w:hAnsi="Google Sans" w:cs="Google Sans"/>
          <w:sz w:val="24"/>
          <w:szCs w:val="24"/>
        </w:rPr>
        <w:t xml:space="preserve">-Free </w:t>
      </w:r>
      <w:proofErr w:type="spellStart"/>
      <w:r>
        <w:rPr>
          <w:rFonts w:ascii="Google Sans" w:eastAsia="Google Sans" w:hAnsi="Google Sans" w:cs="Google Sans"/>
          <w:sz w:val="24"/>
          <w:szCs w:val="24"/>
        </w:rPr>
        <w:t>Cooling</w:t>
      </w:r>
      <w:proofErr w:type="spellEnd"/>
      <w:r>
        <w:rPr>
          <w:rFonts w:ascii="Google Sans" w:eastAsia="Google Sans" w:hAnsi="Google Sans" w:cs="Google Sans"/>
          <w:sz w:val="24"/>
          <w:szCs w:val="24"/>
        </w:rPr>
        <w:t xml:space="preserve">, fecha de acceso: agosto 8, 2025, </w:t>
      </w:r>
      <w:hyperlink r:id="rId64">
        <w:r>
          <w:rPr>
            <w:rFonts w:ascii="Google Sans" w:eastAsia="Google Sans" w:hAnsi="Google Sans" w:cs="Google Sans"/>
            <w:color w:val="0000EE"/>
            <w:sz w:val="24"/>
            <w:szCs w:val="24"/>
            <w:u w:val="single"/>
          </w:rPr>
          <w:t>https://www.magnotherm.com/</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Camfridge: Magnetic Refrigeration Technology is Ready to Scale - RefIndustry, </w:t>
      </w:r>
      <w:r w:rsidRPr="002E1313">
        <w:rPr>
          <w:rFonts w:ascii="Google Sans" w:eastAsia="Google Sans" w:hAnsi="Google Sans" w:cs="Google Sans"/>
          <w:sz w:val="24"/>
          <w:szCs w:val="24"/>
          <w:lang w:val="en-US"/>
        </w:rPr>
        <w:lastRenderedPageBreak/>
        <w:t xml:space="preserve">fecha de acceso: agosto 8, 2025, </w:t>
      </w:r>
      <w:hyperlink r:id="rId65">
        <w:r w:rsidRPr="002E1313">
          <w:rPr>
            <w:rFonts w:ascii="Google Sans" w:eastAsia="Google Sans" w:hAnsi="Google Sans" w:cs="Google Sans"/>
            <w:color w:val="0000EE"/>
            <w:sz w:val="24"/>
            <w:szCs w:val="24"/>
            <w:u w:val="single"/>
            <w:lang w:val="en-US"/>
          </w:rPr>
          <w:t>https://refindustry.com/articles/interview/camfridge-magnetic-refrigeration-technology-is-ready-to-scale/</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Design and performance study of the active magnetic refrigerator for room-temperature application | Request PDF - ResearchGate, fecha de acceso: agosto 8, 2025, </w:t>
      </w:r>
      <w:hyperlink r:id="rId66">
        <w:r w:rsidRPr="002E1313">
          <w:rPr>
            <w:rFonts w:ascii="Google Sans" w:eastAsia="Google Sans" w:hAnsi="Google Sans" w:cs="Google Sans"/>
            <w:color w:val="0000EE"/>
            <w:sz w:val="24"/>
            <w:szCs w:val="24"/>
            <w:u w:val="single"/>
            <w:lang w:val="en-US"/>
          </w:rPr>
          <w:t>https://www.researchgate.net/publication/223293299_Design_and_performance_study_of_the_active_magnetic_refrigerator_for_room-temperature_application</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t>Technology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Magnotherm</w:t>
      </w:r>
      <w:proofErr w:type="spellEnd"/>
      <w:r>
        <w:rPr>
          <w:rFonts w:ascii="Google Sans" w:eastAsia="Google Sans" w:hAnsi="Google Sans" w:cs="Google Sans"/>
          <w:sz w:val="24"/>
          <w:szCs w:val="24"/>
        </w:rPr>
        <w:t xml:space="preserve">, fecha de acceso: agosto 8, 2025, </w:t>
      </w:r>
      <w:hyperlink r:id="rId67">
        <w:r>
          <w:rPr>
            <w:rFonts w:ascii="Google Sans" w:eastAsia="Google Sans" w:hAnsi="Google Sans" w:cs="Google Sans"/>
            <w:color w:val="0000EE"/>
            <w:sz w:val="24"/>
            <w:szCs w:val="24"/>
            <w:u w:val="single"/>
          </w:rPr>
          <w:t>https://www.magnotherm.com/technology</w:t>
        </w:r>
      </w:hyperlink>
    </w:p>
    <w:p w:rsidR="00DB3014" w:rsidRDefault="00000000">
      <w:pPr>
        <w:numPr>
          <w:ilvl w:val="0"/>
          <w:numId w:val="14"/>
        </w:numPr>
        <w:pBdr>
          <w:top w:val="nil"/>
          <w:left w:val="nil"/>
          <w:bottom w:val="nil"/>
          <w:right w:val="nil"/>
          <w:between w:val="nil"/>
        </w:pBdr>
      </w:pPr>
      <w:r w:rsidRPr="002E1313">
        <w:rPr>
          <w:rFonts w:ascii="Google Sans" w:eastAsia="Google Sans" w:hAnsi="Google Sans" w:cs="Google Sans"/>
          <w:sz w:val="24"/>
          <w:szCs w:val="24"/>
          <w:lang w:val="en-US"/>
        </w:rPr>
        <w:t xml:space="preserve">Magnetic Refrigeration: Design, construction and evaluation of a valve switched rotary prototype. </w:t>
      </w:r>
      <w:proofErr w:type="spellStart"/>
      <w:r>
        <w:rPr>
          <w:rFonts w:ascii="Google Sans" w:eastAsia="Google Sans" w:hAnsi="Google Sans" w:cs="Google Sans"/>
          <w:sz w:val="24"/>
          <w:szCs w:val="24"/>
        </w:rPr>
        <w:t>Numerical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modeling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of</w:t>
      </w:r>
      <w:proofErr w:type="spellEnd"/>
      <w:r>
        <w:rPr>
          <w:rFonts w:ascii="Google Sans" w:eastAsia="Google Sans" w:hAnsi="Google Sans" w:cs="Google Sans"/>
          <w:sz w:val="24"/>
          <w:szCs w:val="24"/>
        </w:rPr>
        <w:t xml:space="preserve"> a </w:t>
      </w:r>
      <w:proofErr w:type="spellStart"/>
      <w:r>
        <w:rPr>
          <w:rFonts w:ascii="Google Sans" w:eastAsia="Google Sans" w:hAnsi="Google Sans" w:cs="Google Sans"/>
          <w:sz w:val="24"/>
          <w:szCs w:val="24"/>
        </w:rPr>
        <w:t>solid</w:t>
      </w:r>
      <w:proofErr w:type="spellEnd"/>
      <w:r>
        <w:rPr>
          <w:rFonts w:ascii="Google Sans" w:eastAsia="Google Sans" w:hAnsi="Google Sans" w:cs="Google Sans"/>
          <w:sz w:val="24"/>
          <w:szCs w:val="24"/>
        </w:rPr>
        <w:t xml:space="preserve"> - Universidad de Zaragoza, fecha de acceso: agosto 8, 2025, </w:t>
      </w:r>
      <w:hyperlink r:id="rId68">
        <w:r>
          <w:rPr>
            <w:rFonts w:ascii="Google Sans" w:eastAsia="Google Sans" w:hAnsi="Google Sans" w:cs="Google Sans"/>
            <w:color w:val="0000EE"/>
            <w:sz w:val="24"/>
            <w:szCs w:val="24"/>
            <w:u w:val="single"/>
          </w:rPr>
          <w:t>https://zaguan.unizar.es/record/107444/files/TESIS-2021-278.pdf</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In-Depth Industry Outlook: Magnetic Refrigeration Market Size &amp; Forecast, fecha de acceso: agosto 8, 2025, </w:t>
      </w:r>
      <w:hyperlink r:id="rId69">
        <w:r w:rsidRPr="002E1313">
          <w:rPr>
            <w:rFonts w:ascii="Google Sans" w:eastAsia="Google Sans" w:hAnsi="Google Sans" w:cs="Google Sans"/>
            <w:color w:val="0000EE"/>
            <w:sz w:val="24"/>
            <w:szCs w:val="24"/>
            <w:u w:val="single"/>
            <w:lang w:val="en-US"/>
          </w:rPr>
          <w:t>https://www.verifiedmarketresearch.com/product/magnetic-refrigeration-market/</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(PDF) Magnetic vs. vapor-compression household refrigerators: A ..., fecha de acceso: agosto 8, 2025, </w:t>
      </w:r>
      <w:hyperlink r:id="rId70">
        <w:r w:rsidRPr="002E1313">
          <w:rPr>
            <w:rFonts w:ascii="Google Sans" w:eastAsia="Google Sans" w:hAnsi="Google Sans" w:cs="Google Sans"/>
            <w:color w:val="0000EE"/>
            <w:sz w:val="24"/>
            <w:szCs w:val="24"/>
            <w:u w:val="single"/>
            <w:lang w:val="en-US"/>
          </w:rPr>
          <w:t>https://www.researchgate.net/publication/260608910_Magnetic_vs_vapor-compression_household_refrigerators_A_preliminary_comparative_life_cycle_assessment</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Technology | Department of Electrical and Computer Engineering - GWU ECE - The George Washington University, fecha de acceso: agosto 8, 2025, </w:t>
      </w:r>
      <w:hyperlink r:id="rId71">
        <w:r w:rsidRPr="002E1313">
          <w:rPr>
            <w:rFonts w:ascii="Google Sans" w:eastAsia="Google Sans" w:hAnsi="Google Sans" w:cs="Google Sans"/>
            <w:color w:val="0000EE"/>
            <w:sz w:val="24"/>
            <w:szCs w:val="24"/>
            <w:u w:val="single"/>
            <w:lang w:val="en-US"/>
          </w:rPr>
          <w:t>https://ece.engineering.gwu.edu/magnetic-refrigeration-technology</w:t>
        </w:r>
      </w:hyperlink>
    </w:p>
    <w:p w:rsidR="00DB3014" w:rsidRDefault="00000000">
      <w:pPr>
        <w:numPr>
          <w:ilvl w:val="0"/>
          <w:numId w:val="14"/>
        </w:numPr>
        <w:pBdr>
          <w:top w:val="nil"/>
          <w:left w:val="nil"/>
          <w:bottom w:val="nil"/>
          <w:right w:val="nil"/>
          <w:between w:val="nil"/>
        </w:pBdr>
      </w:pPr>
      <w:proofErr w:type="spellStart"/>
      <w:r>
        <w:rPr>
          <w:rFonts w:ascii="Google Sans" w:eastAsia="Google Sans" w:hAnsi="Google Sans" w:cs="Google Sans"/>
          <w:sz w:val="24"/>
          <w:szCs w:val="24"/>
        </w:rPr>
        <w:t>Magnetic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Refrigeration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Technology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Kiutra</w:t>
      </w:r>
      <w:proofErr w:type="spellEnd"/>
      <w:r>
        <w:rPr>
          <w:rFonts w:ascii="Google Sans" w:eastAsia="Google Sans" w:hAnsi="Google Sans" w:cs="Google Sans"/>
          <w:sz w:val="24"/>
          <w:szCs w:val="24"/>
        </w:rPr>
        <w:t xml:space="preserve">, fecha de acceso: agosto 8, 2025, </w:t>
      </w:r>
      <w:hyperlink r:id="rId72">
        <w:r>
          <w:rPr>
            <w:rFonts w:ascii="Google Sans" w:eastAsia="Google Sans" w:hAnsi="Google Sans" w:cs="Google Sans"/>
            <w:color w:val="0000EE"/>
            <w:sz w:val="24"/>
            <w:szCs w:val="24"/>
            <w:u w:val="single"/>
          </w:rPr>
          <w:t>https://kiutra.com/technology/</w:t>
        </w:r>
      </w:hyperlink>
    </w:p>
    <w:p w:rsidR="00DB3014" w:rsidRPr="002E1313" w:rsidRDefault="00000000">
      <w:pPr>
        <w:numPr>
          <w:ilvl w:val="0"/>
          <w:numId w:val="14"/>
        </w:numPr>
        <w:pBdr>
          <w:top w:val="nil"/>
          <w:left w:val="nil"/>
          <w:bottom w:val="nil"/>
          <w:right w:val="nil"/>
          <w:between w:val="nil"/>
        </w:pBdr>
        <w:rPr>
          <w:lang w:val="en-US"/>
        </w:rPr>
      </w:pPr>
      <w:r w:rsidRPr="002E1313">
        <w:rPr>
          <w:rFonts w:ascii="Google Sans" w:eastAsia="Google Sans" w:hAnsi="Google Sans" w:cs="Google Sans"/>
          <w:sz w:val="24"/>
          <w:szCs w:val="24"/>
          <w:lang w:val="en-US"/>
        </w:rPr>
        <w:t xml:space="preserve">magnetic refrigeration applications: Topics by Science.gov, fecha de acceso: agosto 8, 2025, </w:t>
      </w:r>
      <w:hyperlink r:id="rId73">
        <w:r w:rsidRPr="002E1313">
          <w:rPr>
            <w:rFonts w:ascii="Google Sans" w:eastAsia="Google Sans" w:hAnsi="Google Sans" w:cs="Google Sans"/>
            <w:color w:val="0000EE"/>
            <w:sz w:val="24"/>
            <w:szCs w:val="24"/>
            <w:u w:val="single"/>
            <w:lang w:val="en-US"/>
          </w:rPr>
          <w:t>https://www.science.gov/topicpages/m/magnetic+refrigeration+applications</w:t>
        </w:r>
      </w:hyperlink>
    </w:p>
    <w:sectPr w:rsidR="00DB3014" w:rsidRPr="002E131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82E81D09-3C7C-604A-8856-58A2742167DD}"/>
    <w:embedBold r:id="rId2" w:fontKey="{23009B74-905B-8F44-8309-03181E9EEF51}"/>
  </w:font>
  <w:font w:name="Times New Roman">
    <w:panose1 w:val="02020603050405020304"/>
    <w:charset w:val="00"/>
    <w:family w:val="roman"/>
    <w:pitch w:val="variable"/>
    <w:sig w:usb0="E0002EFF" w:usb1="C000785B" w:usb2="00000009" w:usb3="00000000" w:csb0="000001FF" w:csb1="00000000"/>
    <w:embedRegular r:id="rId3" w:fontKey="{8B1E030B-1F1A-DD49-8C9A-7B236711EFD9}"/>
  </w:font>
  <w:font w:name="Georgia">
    <w:panose1 w:val="02040502050405020303"/>
    <w:charset w:val="00"/>
    <w:family w:val="roman"/>
    <w:pitch w:val="variable"/>
    <w:sig w:usb0="00000287" w:usb1="00000000" w:usb2="00000000" w:usb3="00000000" w:csb0="0000009F" w:csb1="00000000"/>
    <w:embedRegular r:id="rId4" w:fontKey="{0BD80FB0-4EEC-BF46-81CB-413C7B23FDAD}"/>
    <w:embedItalic r:id="rId5" w:fontKey="{E071CA15-ED74-B04F-8FD8-38AC698352A0}"/>
  </w:font>
  <w:font w:name="Google Sans">
    <w:charset w:val="00"/>
    <w:family w:val="auto"/>
    <w:pitch w:val="default"/>
    <w:embedRegular r:id="rId6" w:fontKey="{3F9B5F5C-C99C-624C-8CBB-6F4B9316CB82}"/>
    <w:embedBold r:id="rId7" w:fontKey="{6DABEED3-9B90-1342-9182-EB31513EE15E}"/>
  </w:font>
  <w:font w:name="Google Sans Text">
    <w:charset w:val="00"/>
    <w:family w:val="auto"/>
    <w:pitch w:val="default"/>
    <w:embedRegular r:id="rId8" w:fontKey="{73631192-ACFD-314C-BA56-869CDEBE1FFB}"/>
    <w:embedBold r:id="rId9" w:fontKey="{64918567-B463-804F-8EF5-49DB9DF35954}"/>
    <w:embedItalic r:id="rId10" w:fontKey="{C501DE2B-8147-4149-954E-A9C5A7FB606B}"/>
  </w:font>
  <w:font w:name="Calibri">
    <w:panose1 w:val="020F0502020204030204"/>
    <w:charset w:val="00"/>
    <w:family w:val="swiss"/>
    <w:pitch w:val="variable"/>
    <w:sig w:usb0="E0002AFF" w:usb1="C000247B" w:usb2="00000009" w:usb3="00000000" w:csb0="000001FF" w:csb1="00000000"/>
    <w:embedRegular r:id="rId11" w:fontKey="{3F1E16CE-B51D-1E49-9918-057F5B88A265}"/>
  </w:font>
  <w:font w:name="Cambria">
    <w:panose1 w:val="02040503050406030204"/>
    <w:charset w:val="00"/>
    <w:family w:val="roman"/>
    <w:pitch w:val="variable"/>
    <w:sig w:usb0="E00002FF" w:usb1="400004FF" w:usb2="00000000" w:usb3="00000000" w:csb0="0000019F" w:csb1="00000000"/>
    <w:embedRegular r:id="rId12" w:fontKey="{EE40C6AC-3EA4-B349-A09B-7F841AE979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F4A07"/>
    <w:multiLevelType w:val="multilevel"/>
    <w:tmpl w:val="6F64B4F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B060D77"/>
    <w:multiLevelType w:val="multilevel"/>
    <w:tmpl w:val="9A4601C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B6668BA"/>
    <w:multiLevelType w:val="multilevel"/>
    <w:tmpl w:val="C4C2DAA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B4E4C34"/>
    <w:multiLevelType w:val="multilevel"/>
    <w:tmpl w:val="6EC2909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40B0526B"/>
    <w:multiLevelType w:val="multilevel"/>
    <w:tmpl w:val="4C18B32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47166908"/>
    <w:multiLevelType w:val="multilevel"/>
    <w:tmpl w:val="2C92517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4AFA2696"/>
    <w:multiLevelType w:val="multilevel"/>
    <w:tmpl w:val="F2621F9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4B1241BD"/>
    <w:multiLevelType w:val="multilevel"/>
    <w:tmpl w:val="485C406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4E28279E"/>
    <w:multiLevelType w:val="multilevel"/>
    <w:tmpl w:val="2174D02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56EB3C4B"/>
    <w:multiLevelType w:val="multilevel"/>
    <w:tmpl w:val="8B3E494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5E397040"/>
    <w:multiLevelType w:val="multilevel"/>
    <w:tmpl w:val="3C74A11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60D47684"/>
    <w:multiLevelType w:val="multilevel"/>
    <w:tmpl w:val="C93221C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65D02340"/>
    <w:multiLevelType w:val="multilevel"/>
    <w:tmpl w:val="0F98A1F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69B640F4"/>
    <w:multiLevelType w:val="multilevel"/>
    <w:tmpl w:val="3E0EEC2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960379069">
    <w:abstractNumId w:val="1"/>
  </w:num>
  <w:num w:numId="2" w16cid:durableId="170949659">
    <w:abstractNumId w:val="12"/>
  </w:num>
  <w:num w:numId="3" w16cid:durableId="749960650">
    <w:abstractNumId w:val="2"/>
  </w:num>
  <w:num w:numId="4" w16cid:durableId="2126190814">
    <w:abstractNumId w:val="10"/>
  </w:num>
  <w:num w:numId="5" w16cid:durableId="843974656">
    <w:abstractNumId w:val="0"/>
  </w:num>
  <w:num w:numId="6" w16cid:durableId="156305357">
    <w:abstractNumId w:val="9"/>
  </w:num>
  <w:num w:numId="7" w16cid:durableId="1972975123">
    <w:abstractNumId w:val="7"/>
  </w:num>
  <w:num w:numId="8" w16cid:durableId="871499886">
    <w:abstractNumId w:val="6"/>
  </w:num>
  <w:num w:numId="9" w16cid:durableId="1253245595">
    <w:abstractNumId w:val="5"/>
  </w:num>
  <w:num w:numId="10" w16cid:durableId="252663072">
    <w:abstractNumId w:val="8"/>
  </w:num>
  <w:num w:numId="11" w16cid:durableId="229386697">
    <w:abstractNumId w:val="3"/>
  </w:num>
  <w:num w:numId="12" w16cid:durableId="1466970900">
    <w:abstractNumId w:val="4"/>
  </w:num>
  <w:num w:numId="13" w16cid:durableId="458499680">
    <w:abstractNumId w:val="13"/>
  </w:num>
  <w:num w:numId="14" w16cid:durableId="6500655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2"/>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014"/>
    <w:rsid w:val="001D2427"/>
    <w:rsid w:val="002E1313"/>
    <w:rsid w:val="00DB30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docId w15:val="{B8646103-242E-CB43-B621-8F177BD83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osti.gov/servlets/purl/1765705" TargetMode="External"/><Relationship Id="rId21" Type="http://schemas.openxmlformats.org/officeDocument/2006/relationships/hyperlink" Target="https://www.mdpi.com/1996-1073/14/4/909" TargetMode="External"/><Relationship Id="rId42" Type="http://schemas.openxmlformats.org/officeDocument/2006/relationships/hyperlink" Target="https://www.mdpi.com/2312-7481/7/1/13" TargetMode="External"/><Relationship Id="rId47" Type="http://schemas.openxmlformats.org/officeDocument/2006/relationships/hyperlink" Target="https://www.mawi.tu-darmstadt.de/fm/research_fm/research_topics_fm/magnetocaloric_materials_fm/lafesi/lafesi.en.jsp" TargetMode="External"/><Relationship Id="rId63" Type="http://schemas.openxmlformats.org/officeDocument/2006/relationships/hyperlink" Target="https://refindustry.com/articles/techguides/magnetic-refrigeration-revolutionizing-cooling-technology-with-the-magnetocaloric-effect/" TargetMode="External"/><Relationship Id="rId68" Type="http://schemas.openxmlformats.org/officeDocument/2006/relationships/hyperlink" Target="https://zaguan.unizar.es/record/107444/files/TESIS-2021-278.pdf" TargetMode="External"/><Relationship Id="rId2" Type="http://schemas.openxmlformats.org/officeDocument/2006/relationships/styles" Target="styles.xml"/><Relationship Id="rId16" Type="http://schemas.openxmlformats.org/officeDocument/2006/relationships/hyperlink" Target="https://www.sjvceo.com/blogee/2019/10/24/technology-tuesday-magnetic-refrigeration-e6l9b" TargetMode="External"/><Relationship Id="rId29" Type="http://schemas.openxmlformats.org/officeDocument/2006/relationships/hyperlink" Target="https://www.the-innovation.org/article/doi/10.59717/j.xinn-mater.2023.100045" TargetMode="External"/><Relationship Id="rId11" Type="http://schemas.openxmlformats.org/officeDocument/2006/relationships/hyperlink" Target="https://richardturton.faculty.wvu.edu/files/d/119f32fe-e630-46c4-851e-a2b99a576391/magnetic_refrigerator.pdf" TargetMode="External"/><Relationship Id="rId24" Type="http://schemas.openxmlformats.org/officeDocument/2006/relationships/hyperlink" Target="https://orbit.dtu.dk/files/100219238/The_influence_of_the_magnetic_field_on_the_performance_of_an_active_magnetic_regenerator_AMR_.pdf" TargetMode="External"/><Relationship Id="rId32" Type="http://schemas.openxmlformats.org/officeDocument/2006/relationships/hyperlink" Target="https://www.mordorintelligence.com/industry-reports/magnetic-refrigeration-market" TargetMode="External"/><Relationship Id="rId37" Type="http://schemas.openxmlformats.org/officeDocument/2006/relationships/hyperlink" Target="https://www.researchgate.net/publication/264404676_Materials_Challenges_for_High_Performance_Magnetocaloric_Refrigeration_Devices" TargetMode="External"/><Relationship Id="rId40" Type="http://schemas.openxmlformats.org/officeDocument/2006/relationships/hyperlink" Target="https://www.hydrogen.energy.gov/docs/hydrogenprogramlibraries/pdfs/progress19/ins_in012_ihnfeldt_2019.pdf?sfvrsn=421de0c2_1" TargetMode="External"/><Relationship Id="rId45" Type="http://schemas.openxmlformats.org/officeDocument/2006/relationships/hyperlink" Target="https://www.researchgate.net/publication/252060450_Stability_and_Magnetocaloric_Properties_of_Sintered_LaFe_Mn_Si_13H_z_Alloys" TargetMode="External"/><Relationship Id="rId53" Type="http://schemas.openxmlformats.org/officeDocument/2006/relationships/hyperlink" Target="https://www.mdpi.com/2075-4701/13/1/111" TargetMode="External"/><Relationship Id="rId58" Type="http://schemas.openxmlformats.org/officeDocument/2006/relationships/hyperlink" Target="https://pubs.aip.org/aip/apm/article/9/8/080702/123007/Pushing-the-limits-of-magnetocaloric-high-entropy" TargetMode="External"/><Relationship Id="rId66" Type="http://schemas.openxmlformats.org/officeDocument/2006/relationships/hyperlink" Target="https://www.researchgate.net/publication/223293299_Design_and_performance_study_of_the_active_magnetic_refrigerator_for_room-temperature_application" TargetMode="External"/><Relationship Id="rId74" Type="http://schemas.openxmlformats.org/officeDocument/2006/relationships/fontTable" Target="fontTable.xml"/><Relationship Id="rId5" Type="http://schemas.openxmlformats.org/officeDocument/2006/relationships/hyperlink" Target="https://www.aps.org/publications/apsnews/200305/refrigerators.cfm" TargetMode="External"/><Relationship Id="rId61" Type="http://schemas.openxmlformats.org/officeDocument/2006/relationships/hyperlink" Target="https://pmc.ncbi.nlm.nih.gov/articles/PMC7380313/" TargetMode="External"/><Relationship Id="rId19" Type="http://schemas.openxmlformats.org/officeDocument/2006/relationships/hyperlink" Target="https://kawa.ac.ug/kawa-eLearning/content/physics/wikislice-physics-en/files/articles/Magnetic_cooling.htm" TargetMode="External"/><Relationship Id="rId14" Type="http://schemas.openxmlformats.org/officeDocument/2006/relationships/hyperlink" Target="https://www.samaterials.com/content/magnetocaloric-coefficient-and-magnetic-refrigeration.html" TargetMode="External"/><Relationship Id="rId22" Type="http://schemas.openxmlformats.org/officeDocument/2006/relationships/hyperlink" Target="https://www.uvic.ca/research/centres/iesvic/assets/docs/dissertations/Dissertation-Burdyny.pdf" TargetMode="External"/><Relationship Id="rId27" Type="http://schemas.openxmlformats.org/officeDocument/2006/relationships/hyperlink" Target="https://orbit.dtu.dk/files/134309779/Exploring_the_efficiency.pdf" TargetMode="External"/><Relationship Id="rId30" Type="http://schemas.openxmlformats.org/officeDocument/2006/relationships/hyperlink" Target="https://link.aps.org/doi/10.1103/PhysRevB.81.054423" TargetMode="External"/><Relationship Id="rId35" Type="http://schemas.openxmlformats.org/officeDocument/2006/relationships/hyperlink" Target="https://ece.engineering.gwu.edu/magnetic-refrigeration-technology" TargetMode="External"/><Relationship Id="rId43" Type="http://schemas.openxmlformats.org/officeDocument/2006/relationships/hyperlink" Target="https://www.the-innovation.org/article/doi/10.59717/j.xinn-mater.2023.100032" TargetMode="External"/><Relationship Id="rId48" Type="http://schemas.openxmlformats.org/officeDocument/2006/relationships/hyperlink" Target="https://pubs.acs.org/doi/full/10.1021/acsaenm.4c00747" TargetMode="External"/><Relationship Id="rId56" Type="http://schemas.openxmlformats.org/officeDocument/2006/relationships/hyperlink" Target="https://www.bohrium.com/paper-details/pushing-the-limits-of-magnetocaloric-high-entropy-alloys/811899075820519425-2143" TargetMode="External"/><Relationship Id="rId64" Type="http://schemas.openxmlformats.org/officeDocument/2006/relationships/hyperlink" Target="https://www.magnotherm.com/" TargetMode="External"/><Relationship Id="rId69" Type="http://schemas.openxmlformats.org/officeDocument/2006/relationships/hyperlink" Target="https://www.verifiedmarketresearch.com/product/magnetic-refrigeration-market/" TargetMode="External"/><Relationship Id="rId8" Type="http://schemas.openxmlformats.org/officeDocument/2006/relationships/hyperlink" Target="https://www.mdpi.com/1996-1073/17/14/3585" TargetMode="External"/><Relationship Id="rId51" Type="http://schemas.openxmlformats.org/officeDocument/2006/relationships/hyperlink" Target="https://www.researchgate.net/topic/Heusler-Alloys~Magnetocaloric-Effect/publications" TargetMode="External"/><Relationship Id="rId72" Type="http://schemas.openxmlformats.org/officeDocument/2006/relationships/hyperlink" Target="https://kiutra.com/technology/" TargetMode="External"/><Relationship Id="rId3" Type="http://schemas.openxmlformats.org/officeDocument/2006/relationships/settings" Target="settings.xml"/><Relationship Id="rId12" Type="http://schemas.openxmlformats.org/officeDocument/2006/relationships/hyperlink" Target="https://www.okonrecycling.com/cooling-system-recycling/chiller-recycling/magnetic-cooling/" TargetMode="External"/><Relationship Id="rId17" Type="http://schemas.openxmlformats.org/officeDocument/2006/relationships/hyperlink" Target="https://www.energy.ca.gov/sites/default/files/2024-06/CEC-500-2024-057_0.pdf" TargetMode="External"/><Relationship Id="rId25" Type="http://schemas.openxmlformats.org/officeDocument/2006/relationships/hyperlink" Target="https://onlineacademiccommunity.uvic.ca/AMRLab/2017/01/07/magnetic-cycles-an-overview-of-research-at-uvic/" TargetMode="External"/><Relationship Id="rId33" Type="http://schemas.openxmlformats.org/officeDocument/2006/relationships/hyperlink" Target="https://refindustry.com/articles/articles/magnetic-cooling/" TargetMode="External"/><Relationship Id="rId38" Type="http://schemas.openxmlformats.org/officeDocument/2006/relationships/hyperlink" Target="https://www.researchgate.net/publication/44639989_Novel_Design_of_LaFeSi13_Alloys_Towards_High_Magnetic_Refrigeration_Performance" TargetMode="External"/><Relationship Id="rId46" Type="http://schemas.openxmlformats.org/officeDocument/2006/relationships/hyperlink" Target="https://royalsocietypublishing.org/doi/10.1098/rsta.2015.0308" TargetMode="External"/><Relationship Id="rId59" Type="http://schemas.openxmlformats.org/officeDocument/2006/relationships/hyperlink" Target="https://www.apexmagnets.com/news-how-tos/magnetic-refrigeration-apex-magnets/" TargetMode="External"/><Relationship Id="rId67" Type="http://schemas.openxmlformats.org/officeDocument/2006/relationships/hyperlink" Target="https://www.magnotherm.com/technology" TargetMode="External"/><Relationship Id="rId20" Type="http://schemas.openxmlformats.org/officeDocument/2006/relationships/hyperlink" Target="https://en.wikipedia.org/wiki/Magnetocaloric_effect" TargetMode="External"/><Relationship Id="rId41" Type="http://schemas.openxmlformats.org/officeDocument/2006/relationships/hyperlink" Target="https://patents.google.com/patent/CN105957672A/en" TargetMode="External"/><Relationship Id="rId54" Type="http://schemas.openxmlformats.org/officeDocument/2006/relationships/hyperlink" Target="https://pubs.aip.org/aip/jap/article/133/4/040903/2866406/Current-perspective-in-magnetocaloric-materials" TargetMode="External"/><Relationship Id="rId62" Type="http://schemas.openxmlformats.org/officeDocument/2006/relationships/hyperlink" Target="https://www.researchgate.net/publication/243293402_Active_magnetic_regenerator_performance_enhancement_using_passive_magnetic_materials" TargetMode="External"/><Relationship Id="rId70" Type="http://schemas.openxmlformats.org/officeDocument/2006/relationships/hyperlink" Target="https://www.researchgate.net/publication/260608910_Magnetic_vs_vapor-compression_household_refrigerators_A_preliminary_comparative_life_cycle_assessment"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mmons.erau.edu/cgi/viewcontent.cgi?article=2397&amp;context=space-congress-proceedings" TargetMode="External"/><Relationship Id="rId15" Type="http://schemas.openxmlformats.org/officeDocument/2006/relationships/hyperlink" Target="https://en.wikipedia.org/wiki/Magnetocaloric_effect" TargetMode="External"/><Relationship Id="rId23" Type="http://schemas.openxmlformats.org/officeDocument/2006/relationships/hyperlink" Target="https://www.scribd.com/doc/174712126/Disadvantages-of-Magnetocaloric-Refrigeration" TargetMode="External"/><Relationship Id="rId28" Type="http://schemas.openxmlformats.org/officeDocument/2006/relationships/hyperlink" Target="https://www.tdx.cat/bitstream/handle/10803/1789/1.CHAPTER_1.pdf" TargetMode="External"/><Relationship Id="rId36" Type="http://schemas.openxmlformats.org/officeDocument/2006/relationships/hyperlink" Target="https://ideas.repec.org/a/eee/rensus/v143y2021ics1364032121002252.html" TargetMode="External"/><Relationship Id="rId49" Type="http://schemas.openxmlformats.org/officeDocument/2006/relationships/hyperlink" Target="https://www.researchgate.net/publication/367738541_Magnetocaloric_LaFeMnSi13hz_Particles_and_Their_Chemical_Stability_in_Heat_Transfer_Fluids_Employed_in_Magnetic_Refrigeration" TargetMode="External"/><Relationship Id="rId57" Type="http://schemas.openxmlformats.org/officeDocument/2006/relationships/hyperlink" Target="https://www.researchgate.net/publication/363497061_Review_on_magnetocaloric_high-entropy_alloys_Design_and_analysis_methods" TargetMode="External"/><Relationship Id="rId10" Type="http://schemas.openxmlformats.org/officeDocument/2006/relationships/hyperlink" Target="https://www.businesswire.com/news/home/20201102005427/en/Global-Magnetic-Refrigeration-Market-2020-to-2025---High-Potential-in-Industrial-Sector-Presents-Opportunities---ResearchAndMarkets.com" TargetMode="External"/><Relationship Id="rId31" Type="http://schemas.openxmlformats.org/officeDocument/2006/relationships/hyperlink" Target="https://www.numberanalytics.com/blog/magnetic-refrigeration-heat-transfer-basics" TargetMode="External"/><Relationship Id="rId44" Type="http://schemas.openxmlformats.org/officeDocument/2006/relationships/hyperlink" Target="https://www.researchgate.net/publication/378909892_A_Short_Review_on_the_Evolution_of_Magnetocaloric_LaFeSi_13_and_Its_Fabrication_through_Melt_Spinning" TargetMode="External"/><Relationship Id="rId52" Type="http://schemas.openxmlformats.org/officeDocument/2006/relationships/hyperlink" Target="https://www.mdpi.com/2075-4701/14/6/688" TargetMode="External"/><Relationship Id="rId60" Type="http://schemas.openxmlformats.org/officeDocument/2006/relationships/hyperlink" Target="https://orbit.dtu.dk/files/100219269/Review_and_comparison_of_magnet_designs_for_magnetic_refrigeration.pdf" TargetMode="External"/><Relationship Id="rId65" Type="http://schemas.openxmlformats.org/officeDocument/2006/relationships/hyperlink" Target="https://refindustry.com/articles/interview/camfridge-magnetic-refrigeration-technology-is-ready-to-scale/" TargetMode="External"/><Relationship Id="rId73" Type="http://schemas.openxmlformats.org/officeDocument/2006/relationships/hyperlink" Target="https://www.science.gov/topicpages/m/magnetic+refrigeration+applications" TargetMode="External"/><Relationship Id="rId4" Type="http://schemas.openxmlformats.org/officeDocument/2006/relationships/webSettings" Target="webSettings.xml"/><Relationship Id="rId9" Type="http://schemas.openxmlformats.org/officeDocument/2006/relationships/hyperlink" Target="https://www.marketsandmarkets.com/Market-Reports/magnetic-refrigeration-market-243034247.html" TargetMode="External"/><Relationship Id="rId13" Type="http://schemas.openxmlformats.org/officeDocument/2006/relationships/hyperlink" Target="https://pubs.acs.org/doi/10.1021/acsomega.3c08622" TargetMode="External"/><Relationship Id="rId18" Type="http://schemas.openxmlformats.org/officeDocument/2006/relationships/hyperlink" Target="https://www.nist.gov/news-events/news/2009/01/refrigeration-problems-magnetically-attractive-solution" TargetMode="External"/><Relationship Id="rId39" Type="http://schemas.openxmlformats.org/officeDocument/2006/relationships/hyperlink" Target="https://www.ecmetac.eu/images/PhD-offer-LUE.pdf" TargetMode="External"/><Relationship Id="rId34" Type="http://schemas.openxmlformats.org/officeDocument/2006/relationships/hyperlink" Target="https://www.researchgate.net/publication/381074382_Magnetocaloric_effect_and_applied_refrigeration_performance_of_LaFeSi13-based_compounds" TargetMode="External"/><Relationship Id="rId50" Type="http://schemas.openxmlformats.org/officeDocument/2006/relationships/hyperlink" Target="https://pubs.acs.org/doi/10.1021/acsomega.3c06724" TargetMode="External"/><Relationship Id="rId55" Type="http://schemas.openxmlformats.org/officeDocument/2006/relationships/hyperlink" Target="https://www.isroset.org/pub_paper/IJSRPAS/3-ISROSET-IJSRPAS-08819.pdf" TargetMode="External"/><Relationship Id="rId7" Type="http://schemas.openxmlformats.org/officeDocument/2006/relationships/hyperlink" Target="https://www.cibsejournal.com/technical/the-appeal-of-magnetic-refrigeration/" TargetMode="External"/><Relationship Id="rId71" Type="http://schemas.openxmlformats.org/officeDocument/2006/relationships/hyperlink" Target="https://ece.engineering.gwu.edu/magnetic-refrigeration-technology"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10105</Words>
  <Characters>55579</Characters>
  <Application>Microsoft Office Word</Application>
  <DocSecurity>0</DocSecurity>
  <Lines>463</Lines>
  <Paragraphs>131</Paragraphs>
  <ScaleCrop>false</ScaleCrop>
  <Company/>
  <LinksUpToDate>false</LinksUpToDate>
  <CharactersWithSpaces>65553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Gerardo Mayor</cp:lastModifiedBy>
  <cp:revision>3</cp:revision>
  <cp:lastPrinted>2025-08-08T15:03:00Z</cp:lastPrinted>
  <dcterms:created xsi:type="dcterms:W3CDTF">2025-08-08T15:03:00Z</dcterms:created>
  <dcterms:modified xsi:type="dcterms:W3CDTF">2025-08-08T15:03:00Z</dcterms:modified>
</cp:coreProperties>
</file>