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Resumen de indicadores que están influyendo en cada comparación para ranking qs y the.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Gráficos de las u chilenas, usm, USACH.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h.index (del profesor), citaciones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otro indicador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Journal nicho de ingeniería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Número de citaciones ccp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Sumar citaciones del profe en la ventana del 6 años. Factor de impacto de 5 años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Factor impacto + citad del profe como indicadores.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Sugerencias.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Conclusiones: (que quieren incluir en el far)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citas profe y factor de impacto 5 años revista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irn que el profe debe tener al menos 3 publicaciones en los últimos años con la misma universidad. No sirven más de 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h.index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número de asociaciones que tienes con más de 3 papers. (Indicador) Se puede dividir en 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desmenuzar el times igual que el qs. Mismo trabajo para times. Dos semanas más. (Semana post receso).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