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7h82n9yna4ov" w:id="0"/>
      <w:bookmarkEnd w:id="0"/>
      <w:hyperlink r:id="rId6">
        <w:r w:rsidDel="00000000" w:rsidR="00000000" w:rsidRPr="00000000">
          <w:rPr>
            <w:b w:val="1"/>
            <w:bCs w:val="1"/>
            <w:color w:val="1155cc"/>
            <w:u w:val="single"/>
            <w:rtl w:val="0"/>
          </w:rPr>
          <w:t xml:space="preserve">Feedback Reunión reporte 20-05</w:t>
        </w:r>
      </w:hyperlink>
      <w:r w:rsidDel="00000000" w:rsidR="00000000" w:rsidRPr="00000000">
        <w:rPr>
          <w:rtl w:val="0"/>
        </w:rPr>
      </w:r>
    </w:p>
    <w:p w:rsidR="00000000" w:rsidDel="00000000" w:rsidP="00000000" w:rsidRDefault="00000000" w:rsidRPr="00000000" w14:paraId="00000002">
      <w:pPr>
        <w:rPr>
          <w:b w:val="1"/>
          <w:bCs w:val="1"/>
          <w:sz w:val="36"/>
          <w:szCs w:val="36"/>
        </w:rPr>
      </w:pPr>
      <w:hyperlink r:id="rId7">
        <w:r w:rsidDel="00000000" w:rsidR="00000000" w:rsidRPr="00000000">
          <w:rPr>
            <w:b w:val="1"/>
            <w:bCs w:val="1"/>
            <w:color w:val="1155cc"/>
            <w:sz w:val="36"/>
            <w:szCs w:val="36"/>
            <w:u w:val="single"/>
            <w:rtl w:val="0"/>
          </w:rPr>
          <w:t xml:space="preserve">Presentación Ranking QS</w:t>
        </w:r>
      </w:hyperlink>
      <w:r w:rsidDel="00000000" w:rsidR="00000000" w:rsidRPr="00000000">
        <w:rPr>
          <w:rtl w:val="0"/>
        </w:rPr>
      </w:r>
    </w:p>
    <w:p w:rsidR="00000000" w:rsidDel="00000000" w:rsidP="00000000" w:rsidRDefault="00000000" w:rsidRPr="00000000" w14:paraId="00000003">
      <w:pPr>
        <w:pStyle w:val="Heading1"/>
        <w:rPr>
          <w:b w:val="1"/>
          <w:bCs w:val="1"/>
        </w:rPr>
      </w:pPr>
      <w:bookmarkStart w:colFirst="0" w:colLast="0" w:name="_iejkby3ca7qo" w:id="1"/>
      <w:bookmarkEnd w:id="1"/>
      <w:r w:rsidDel="00000000" w:rsidR="00000000" w:rsidRPr="00000000">
        <w:rPr>
          <w:b w:val="1"/>
          <w:bCs w:val="1"/>
          <w:rtl w:val="0"/>
        </w:rPr>
        <w:t xml:space="preserve">Encuestas THE (Nicole)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tl w:val="0"/>
        </w:rPr>
        <w:t xml:space="preserve">Ranking Times Higher Education:</w:t>
      </w:r>
    </w:p>
    <w:p w:rsidR="00000000" w:rsidDel="00000000" w:rsidP="00000000" w:rsidRDefault="00000000" w:rsidRPr="00000000" w14:paraId="00000007">
      <w:pPr>
        <w:rPr>
          <w:b w:val="1"/>
          <w:bCs w:val="1"/>
          <w:sz w:val="28"/>
          <w:szCs w:val="28"/>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A diferencia del ranking QS, el ranking THE tiene solo una encuesta global que mide la reputación académica de las universidades. No hay encuesta que se aplique a empleadores.</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b w:val="1"/>
          <w:bCs w:val="1"/>
          <w:sz w:val="28"/>
          <w:szCs w:val="28"/>
          <w:rtl w:val="0"/>
        </w:rPr>
        <w:t xml:space="preserve">Encuesta Global de Reputación Académica:</w:t>
      </w:r>
    </w:p>
    <w:p w:rsidR="00000000" w:rsidDel="00000000" w:rsidP="00000000" w:rsidRDefault="00000000" w:rsidRPr="00000000" w14:paraId="0000000B">
      <w:pPr>
        <w:rPr>
          <w:b w:val="1"/>
          <w:bCs w:val="1"/>
          <w:sz w:val="24"/>
          <w:szCs w:val="24"/>
        </w:rPr>
      </w:pPr>
      <w:r w:rsidDel="00000000" w:rsidR="00000000" w:rsidRPr="00000000">
        <w:rPr>
          <w:rtl w:val="0"/>
        </w:rPr>
      </w:r>
    </w:p>
    <w:p w:rsidR="00000000" w:rsidDel="00000000" w:rsidP="00000000" w:rsidRDefault="00000000" w:rsidRPr="00000000" w14:paraId="0000000C">
      <w:pPr>
        <w:shd w:fill="ffffff" w:val="clear"/>
        <w:spacing w:after="180" w:lineRule="auto"/>
        <w:rPr>
          <w:b w:val="1"/>
          <w:bCs w:val="1"/>
          <w:sz w:val="24"/>
          <w:szCs w:val="24"/>
        </w:rPr>
      </w:pPr>
      <w:r w:rsidDel="00000000" w:rsidR="00000000" w:rsidRPr="00000000">
        <w:rPr>
          <w:sz w:val="24"/>
          <w:szCs w:val="24"/>
          <w:rtl w:val="0"/>
        </w:rPr>
        <w:t xml:space="preserve">La encuesta para esta edición (2026) se realizó entre noviembre de 2024 y enero de 2025. THE combina estos resultados con los de la encuesta del año anterior (2024) para darle más robustez a la muestra, logrando </w:t>
      </w:r>
      <w:r w:rsidDel="00000000" w:rsidR="00000000" w:rsidRPr="00000000">
        <w:rPr>
          <w:b w:val="1"/>
          <w:bCs w:val="1"/>
          <w:sz w:val="24"/>
          <w:szCs w:val="24"/>
          <w:rtl w:val="0"/>
        </w:rPr>
        <w:t xml:space="preserve">más de 108.000 respuestas</w:t>
      </w:r>
      <w:r w:rsidDel="00000000" w:rsidR="00000000" w:rsidRPr="00000000">
        <w:rPr>
          <w:sz w:val="24"/>
          <w:szCs w:val="24"/>
          <w:rtl w:val="0"/>
        </w:rPr>
        <w:t xml:space="preserve"> en total.</w:t>
      </w: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2"/>
        </w:numPr>
        <w:ind w:left="720" w:hanging="360"/>
        <w:rPr>
          <w:b w:val="1"/>
          <w:bCs w:val="1"/>
          <w:sz w:val="24"/>
          <w:szCs w:val="24"/>
          <w:u w:val="none"/>
        </w:rPr>
      </w:pPr>
      <w:r w:rsidDel="00000000" w:rsidR="00000000" w:rsidRPr="00000000">
        <w:rPr>
          <w:b w:val="1"/>
          <w:bCs w:val="1"/>
          <w:sz w:val="24"/>
          <w:szCs w:val="24"/>
          <w:rtl w:val="0"/>
        </w:rPr>
        <w:t xml:space="preserve">Selección de académicos:</w:t>
      </w:r>
    </w:p>
    <w:p w:rsidR="00000000" w:rsidDel="00000000" w:rsidP="00000000" w:rsidRDefault="00000000" w:rsidRPr="00000000" w14:paraId="0000000F">
      <w:pPr>
        <w:rPr>
          <w:sz w:val="24"/>
          <w:szCs w:val="24"/>
        </w:rPr>
      </w:pPr>
      <w:r w:rsidDel="00000000" w:rsidR="00000000" w:rsidRPr="00000000">
        <w:rPr>
          <w:rtl w:val="0"/>
        </w:rPr>
        <w:t xml:space="preserve">La encuesta es estrictamente por invitación; las universidades no pueden realizar nominaciones ni proporcionar listas de contactos, y las personas no pueden postularse para participar.  </w:t>
      </w:r>
      <w:r w:rsidDel="00000000" w:rsidR="00000000" w:rsidRPr="00000000">
        <w:rPr>
          <w:sz w:val="24"/>
          <w:szCs w:val="24"/>
          <w:rtl w:val="0"/>
        </w:rPr>
        <w:t xml:space="preserve">El enlace para votar le llega de forma privada y directa al correo de académicos seleccionados (</w:t>
      </w:r>
      <w:r w:rsidDel="00000000" w:rsidR="00000000" w:rsidRPr="00000000">
        <w:rPr>
          <w:b w:val="1"/>
          <w:bCs w:val="1"/>
          <w:sz w:val="24"/>
          <w:szCs w:val="24"/>
          <w:rtl w:val="0"/>
        </w:rPr>
        <w:t xml:space="preserve">que cumplan el requisito de haber publicado y sido citados en los últimos 5 años)</w:t>
      </w:r>
      <w:r w:rsidDel="00000000" w:rsidR="00000000" w:rsidRPr="00000000">
        <w:rPr>
          <w:sz w:val="24"/>
          <w:szCs w:val="24"/>
          <w:rtl w:val="0"/>
        </w:rPr>
        <w:t xml:space="preserve">.</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sz w:val="24"/>
          <w:szCs w:val="24"/>
          <w:rtl w:val="0"/>
        </w:rPr>
        <w:t xml:space="preserve">Es una encuesta internacional aplicada a académicos e investigadores con experiencia y publicaciones, quienes evalúan qué universidades consideran más destacadas en investigación y docencia dentro de sus áreas de especialidad. </w:t>
      </w:r>
      <w:r w:rsidDel="00000000" w:rsidR="00000000" w:rsidRPr="00000000">
        <w:rPr>
          <w:b w:val="1"/>
          <w:bCs w:val="1"/>
          <w:sz w:val="24"/>
          <w:szCs w:val="24"/>
          <w:rtl w:val="0"/>
        </w:rPr>
        <w:t xml:space="preserve">Los encuestados califican universidades con las que están familiarizados. </w:t>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sz w:val="24"/>
          <w:szCs w:val="24"/>
          <w:highlight w:val="white"/>
          <w:rtl w:val="0"/>
        </w:rPr>
        <w:t xml:space="preserve">Se incluyen preguntas sobre datos demográficos, como su área de especialización y el país o territorio donde residen, e </w:t>
      </w:r>
      <w:r w:rsidDel="00000000" w:rsidR="00000000" w:rsidRPr="00000000">
        <w:rPr>
          <w:sz w:val="24"/>
          <w:szCs w:val="24"/>
          <w:rtl w:val="0"/>
        </w:rPr>
        <w:t xml:space="preserve">información profesional del académico.</w:t>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numPr>
          <w:ilvl w:val="0"/>
          <w:numId w:val="2"/>
        </w:numPr>
        <w:ind w:left="720" w:hanging="360"/>
        <w:rPr>
          <w:sz w:val="24"/>
          <w:szCs w:val="24"/>
          <w:u w:val="none"/>
        </w:rPr>
      </w:pPr>
      <w:r w:rsidDel="00000000" w:rsidR="00000000" w:rsidRPr="00000000">
        <w:rPr>
          <w:b w:val="1"/>
          <w:bCs w:val="1"/>
          <w:sz w:val="24"/>
          <w:szCs w:val="24"/>
          <w:rtl w:val="0"/>
        </w:rPr>
        <w:t xml:space="preserve">Nominaciones:</w:t>
      </w:r>
      <w:r w:rsidDel="00000000" w:rsidR="00000000" w:rsidRPr="00000000">
        <w:rPr>
          <w:sz w:val="24"/>
          <w:szCs w:val="24"/>
          <w:rtl w:val="0"/>
        </w:rPr>
        <w:t xml:space="preserve"> </w:t>
      </w:r>
    </w:p>
    <w:p w:rsidR="00000000" w:rsidDel="00000000" w:rsidP="00000000" w:rsidRDefault="00000000" w:rsidRPr="00000000" w14:paraId="00000016">
      <w:pPr>
        <w:ind w:left="0" w:firstLine="0"/>
        <w:rPr>
          <w:b w:val="1"/>
          <w:bCs w:val="1"/>
          <w:sz w:val="24"/>
          <w:szCs w:val="24"/>
        </w:rPr>
      </w:pPr>
      <w:r w:rsidDel="00000000" w:rsidR="00000000" w:rsidRPr="00000000">
        <w:rPr>
          <w:sz w:val="24"/>
          <w:szCs w:val="24"/>
          <w:rtl w:val="0"/>
        </w:rPr>
        <w:t xml:space="preserve">Se pide a los académicos que nombren hasta 15 universidades que consideren las mejores en investigación (pesa un 18%) y hasta 15 universidades en docencia (pesa un 15%) dentro de su campo a nivel mundial. </w:t>
      </w:r>
      <w:r w:rsidDel="00000000" w:rsidR="00000000" w:rsidRPr="00000000">
        <w:rPr>
          <w:b w:val="1"/>
          <w:bCs w:val="1"/>
          <w:sz w:val="24"/>
          <w:szCs w:val="24"/>
          <w:rtl w:val="0"/>
        </w:rPr>
        <w:t xml:space="preserve">Votos de reputación académica: 33% total del ranking. Reputación en Investigación (18%), Reputación en Enseñanza (15%) </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numPr>
          <w:ilvl w:val="0"/>
          <w:numId w:val="2"/>
        </w:numPr>
        <w:ind w:left="720" w:hanging="360"/>
        <w:rPr>
          <w:sz w:val="24"/>
          <w:szCs w:val="24"/>
          <w:u w:val="none"/>
        </w:rPr>
      </w:pPr>
      <w:r w:rsidDel="00000000" w:rsidR="00000000" w:rsidRPr="00000000">
        <w:rPr>
          <w:b w:val="1"/>
          <w:bCs w:val="1"/>
          <w:sz w:val="24"/>
          <w:szCs w:val="24"/>
          <w:rtl w:val="0"/>
        </w:rPr>
        <w:t xml:space="preserve">Comparación entre pares:</w:t>
      </w:r>
      <w:r w:rsidDel="00000000" w:rsidR="00000000" w:rsidRPr="00000000">
        <w:rPr>
          <w:sz w:val="24"/>
          <w:szCs w:val="24"/>
          <w:rtl w:val="0"/>
        </w:rPr>
        <w:t xml:space="preserve"> </w:t>
      </w:r>
    </w:p>
    <w:p w:rsidR="00000000" w:rsidDel="00000000" w:rsidP="00000000" w:rsidRDefault="00000000" w:rsidRPr="00000000" w14:paraId="00000019">
      <w:pPr>
        <w:ind w:left="0" w:firstLine="0"/>
        <w:rPr>
          <w:b w:val="1"/>
          <w:bCs w:val="1"/>
          <w:sz w:val="24"/>
          <w:szCs w:val="24"/>
        </w:rPr>
      </w:pPr>
      <w:r w:rsidDel="00000000" w:rsidR="00000000" w:rsidRPr="00000000">
        <w:rPr>
          <w:sz w:val="24"/>
          <w:szCs w:val="24"/>
          <w:rtl w:val="0"/>
        </w:rPr>
        <w:t xml:space="preserve">Lista de 5 instituciones (seleccionadas algorítmicamente en función del historial de publicaciones del propio académico). El académico debe ordenar esta lista, creando un “mini ranking”. THE utiliza este mini ranking para refinar el rendimiento entre las universidades (evitando que las universidades “más votadas” aparezcan siempre, y obliga a que los académicos consideren instituciones “menos visibles”). </w:t>
      </w:r>
      <w:r w:rsidDel="00000000" w:rsidR="00000000" w:rsidRPr="00000000">
        <w:rPr>
          <w:rtl w:val="0"/>
        </w:rPr>
      </w:r>
    </w:p>
    <w:p w:rsidR="00000000" w:rsidDel="00000000" w:rsidP="00000000" w:rsidRDefault="00000000" w:rsidRPr="00000000" w14:paraId="0000001A">
      <w:pPr>
        <w:rPr>
          <w:highlight w:val="white"/>
        </w:rPr>
      </w:pPr>
      <w:r w:rsidDel="00000000" w:rsidR="00000000" w:rsidRPr="00000000">
        <w:rPr>
          <w:rtl w:val="0"/>
        </w:rPr>
      </w:r>
    </w:p>
    <w:p w:rsidR="00000000" w:rsidDel="00000000" w:rsidP="00000000" w:rsidRDefault="00000000" w:rsidRPr="00000000" w14:paraId="0000001B">
      <w:pPr>
        <w:rPr>
          <w:b w:val="1"/>
          <w:bCs w:val="1"/>
          <w:sz w:val="28"/>
          <w:szCs w:val="28"/>
          <w:highlight w:val="white"/>
        </w:rPr>
      </w:pPr>
      <w:r w:rsidDel="00000000" w:rsidR="00000000" w:rsidRPr="00000000">
        <w:rPr>
          <w:b w:val="1"/>
          <w:bCs w:val="1"/>
          <w:sz w:val="28"/>
          <w:szCs w:val="28"/>
          <w:highlight w:val="white"/>
          <w:rtl w:val="0"/>
        </w:rPr>
        <w:t xml:space="preserve">Procesamiento y validación de los resultados post encuesta:</w:t>
      </w:r>
      <w:r w:rsidDel="00000000" w:rsidR="00000000" w:rsidRPr="00000000">
        <w:rPr>
          <w:rtl w:val="0"/>
        </w:rPr>
      </w:r>
    </w:p>
    <w:p w:rsidR="00000000" w:rsidDel="00000000" w:rsidP="00000000" w:rsidRDefault="00000000" w:rsidRPr="00000000" w14:paraId="0000001C">
      <w:pPr>
        <w:shd w:fill="ffffff" w:val="clear"/>
        <w:spacing w:after="180" w:lineRule="auto"/>
        <w:ind w:left="0" w:firstLine="0"/>
        <w:rPr>
          <w:b w:val="1"/>
          <w:bCs w:val="1"/>
          <w:sz w:val="24"/>
          <w:szCs w:val="24"/>
        </w:rPr>
      </w:pPr>
      <w:r w:rsidDel="00000000" w:rsidR="00000000" w:rsidRPr="00000000">
        <w:rPr>
          <w:b w:val="1"/>
          <w:bCs w:val="1"/>
          <w:sz w:val="24"/>
          <w:szCs w:val="24"/>
          <w:rtl w:val="0"/>
        </w:rPr>
        <w:t xml:space="preserve">Control de sesgos y ponderación de pesos: </w:t>
        <w:br w:type="textWrapping"/>
      </w:r>
    </w:p>
    <w:p w:rsidR="00000000" w:rsidDel="00000000" w:rsidP="00000000" w:rsidRDefault="00000000" w:rsidRPr="00000000" w14:paraId="0000001D">
      <w:pPr>
        <w:numPr>
          <w:ilvl w:val="0"/>
          <w:numId w:val="1"/>
        </w:numPr>
        <w:shd w:fill="ffffff" w:val="clear"/>
        <w:spacing w:after="0" w:afterAutospacing="0" w:lineRule="auto"/>
        <w:ind w:left="720" w:hanging="360"/>
        <w:rPr>
          <w:sz w:val="24"/>
          <w:szCs w:val="24"/>
          <w:u w:val="none"/>
        </w:rPr>
      </w:pPr>
      <w:r w:rsidDel="00000000" w:rsidR="00000000" w:rsidRPr="00000000">
        <w:rPr>
          <w:b w:val="1"/>
          <w:bCs w:val="1"/>
          <w:sz w:val="24"/>
          <w:szCs w:val="24"/>
          <w:rtl w:val="0"/>
        </w:rPr>
        <w:t xml:space="preserve">Sesgo geográfico:</w:t>
      </w:r>
      <w:r w:rsidDel="00000000" w:rsidR="00000000" w:rsidRPr="00000000">
        <w:rPr>
          <w:sz w:val="24"/>
          <w:szCs w:val="24"/>
          <w:rtl w:val="0"/>
        </w:rPr>
        <w:t xml:space="preserve"> Para que los resultados no se sesguen hacia los países con más encuestados, THE pondera los votos basándose en la distribución global de académicos (usando datos de la UNESCO) y la distribución global de publicaciones de investigación (producción científica) . Si un país está sobrerrepresentado en las respuestas, sus votos "pesan menos", y si está subrepresentado, "pesan más".</w:t>
        <w:br w:type="textWrapping"/>
      </w:r>
    </w:p>
    <w:p w:rsidR="00000000" w:rsidDel="00000000" w:rsidP="00000000" w:rsidRDefault="00000000" w:rsidRPr="00000000" w14:paraId="0000001E">
      <w:pPr>
        <w:numPr>
          <w:ilvl w:val="0"/>
          <w:numId w:val="1"/>
        </w:numPr>
        <w:shd w:fill="ffffff" w:val="clear"/>
        <w:spacing w:after="0" w:afterAutospacing="0" w:lineRule="auto"/>
        <w:ind w:left="720" w:hanging="360"/>
        <w:rPr>
          <w:sz w:val="24"/>
          <w:szCs w:val="24"/>
          <w:u w:val="none"/>
        </w:rPr>
      </w:pPr>
      <w:r w:rsidDel="00000000" w:rsidR="00000000" w:rsidRPr="00000000">
        <w:rPr>
          <w:b w:val="1"/>
          <w:bCs w:val="1"/>
          <w:sz w:val="24"/>
          <w:szCs w:val="24"/>
          <w:rtl w:val="0"/>
        </w:rPr>
        <w:t xml:space="preserve">Autovotos:</w:t>
      </w:r>
      <w:r w:rsidDel="00000000" w:rsidR="00000000" w:rsidRPr="00000000">
        <w:rPr>
          <w:sz w:val="24"/>
          <w:szCs w:val="24"/>
          <w:rtl w:val="0"/>
        </w:rPr>
        <w:t xml:space="preserve"> Aunque THE permite que un académico vote por su propia universidad, el sistema aplica un tope: los autovotos nunca pueden representar más del 10% del total de votos que recibe una institución.</w:t>
        <w:br w:type="textWrapping"/>
      </w:r>
    </w:p>
    <w:p w:rsidR="00000000" w:rsidDel="00000000" w:rsidP="00000000" w:rsidRDefault="00000000" w:rsidRPr="00000000" w14:paraId="0000001F">
      <w:pPr>
        <w:numPr>
          <w:ilvl w:val="0"/>
          <w:numId w:val="1"/>
        </w:numPr>
        <w:shd w:fill="ffffff" w:val="clear"/>
        <w:spacing w:after="0" w:afterAutospacing="0" w:lineRule="auto"/>
        <w:ind w:left="720" w:hanging="360"/>
        <w:rPr>
          <w:sz w:val="24"/>
          <w:szCs w:val="24"/>
          <w:u w:val="none"/>
        </w:rPr>
      </w:pPr>
      <w:r w:rsidDel="00000000" w:rsidR="00000000" w:rsidRPr="00000000">
        <w:rPr>
          <w:b w:val="1"/>
          <w:bCs w:val="1"/>
          <w:sz w:val="24"/>
          <w:szCs w:val="24"/>
          <w:rtl w:val="0"/>
        </w:rPr>
        <w:t xml:space="preserve">Votación entre instituciones:</w:t>
      </w:r>
      <w:r w:rsidDel="00000000" w:rsidR="00000000" w:rsidRPr="00000000">
        <w:rPr>
          <w:sz w:val="24"/>
          <w:szCs w:val="24"/>
          <w:rtl w:val="0"/>
        </w:rPr>
        <w:t xml:space="preserve"> Para evitar que las universidades hagan acuerdos de votación entre ellas, THE mide el número de instituciones diferentes de las que provienen los votos. Si detectan que una universidad recibe muchos votos pero de un círculo cercano y concentrado de votantes (alto número de votos por institución encuestada o VPRI), el sistema activa un umbral máximo y penaliza el peso de esos votos.</w:t>
        <w:br w:type="textWrapping"/>
      </w:r>
    </w:p>
    <w:p w:rsidR="00000000" w:rsidDel="00000000" w:rsidP="00000000" w:rsidRDefault="00000000" w:rsidRPr="00000000" w14:paraId="00000020">
      <w:pPr>
        <w:numPr>
          <w:ilvl w:val="0"/>
          <w:numId w:val="1"/>
        </w:numPr>
        <w:shd w:fill="ffffff" w:val="clear"/>
        <w:spacing w:after="180" w:lineRule="auto"/>
        <w:ind w:left="720" w:hanging="360"/>
        <w:rPr>
          <w:sz w:val="24"/>
          <w:szCs w:val="24"/>
          <w:u w:val="none"/>
        </w:rPr>
      </w:pPr>
      <w:r w:rsidDel="00000000" w:rsidR="00000000" w:rsidRPr="00000000">
        <w:rPr>
          <w:b w:val="1"/>
          <w:bCs w:val="1"/>
          <w:sz w:val="24"/>
          <w:szCs w:val="24"/>
          <w:rtl w:val="0"/>
        </w:rPr>
        <w:t xml:space="preserve">Diversidad de votantes:</w:t>
      </w:r>
      <w:r w:rsidDel="00000000" w:rsidR="00000000" w:rsidRPr="00000000">
        <w:rPr>
          <w:sz w:val="24"/>
          <w:szCs w:val="24"/>
          <w:rtl w:val="0"/>
        </w:rPr>
        <w:t xml:space="preserve"> A partir de las respuestas de la encuesta, THE analiza la diversidad geográfica e institucional de los académicos que reconocen a cada universidad. El objetivo es medir qué tan amplio y global es dicho reconocimiento, evitando que este provenga de grupos reducidos o concentrados. Este análisis da origen a dos indicadores: Diversidad en Investigación (10%) y Diversidad en Enseñanza (10%), que en conjunto representan el 20% del ranking total. </w:t>
      </w:r>
    </w:p>
    <w:p w:rsidR="00000000" w:rsidDel="00000000" w:rsidP="00000000" w:rsidRDefault="00000000" w:rsidRPr="00000000" w14:paraId="00000021">
      <w:pPr>
        <w:rPr>
          <w:i w:val="1"/>
          <w:iCs w:val="1"/>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b w:val="1"/>
          <w:bCs w:val="1"/>
          <w:sz w:val="24"/>
          <w:szCs w:val="24"/>
          <w:highlight w:val="yellow"/>
          <w:rtl w:val="0"/>
        </w:rPr>
        <w:t xml:space="preserve">Revisar metodología 2025 (esta contiene el detalle de la encuesta): </w:t>
      </w:r>
      <w:r w:rsidDel="00000000" w:rsidR="00000000" w:rsidRPr="00000000">
        <w:rPr>
          <w:sz w:val="24"/>
          <w:szCs w:val="24"/>
          <w:rtl w:val="0"/>
        </w:rPr>
        <w:t xml:space="preserve">https://www.timeshighereducation.com/sites/default/files/breaking_news_files/the_world_reputation_rankings_2025_methodology.pdf</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https://www.timeshighereducation.com/world-university-rankings/world-reputation-rankings-2025-methodology</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highlight w:val="yellow"/>
        </w:rPr>
      </w:pPr>
      <w:r w:rsidDel="00000000" w:rsidR="00000000" w:rsidRPr="00000000">
        <w:rPr>
          <w:rtl w:val="0"/>
        </w:rPr>
      </w:r>
    </w:p>
    <w:p w:rsidR="00000000" w:rsidDel="00000000" w:rsidP="00000000" w:rsidRDefault="00000000" w:rsidRPr="00000000" w14:paraId="00000027">
      <w:pPr>
        <w:rPr>
          <w:b w:val="1"/>
          <w:bCs w:val="1"/>
          <w:sz w:val="24"/>
          <w:szCs w:val="24"/>
          <w:highlight w:val="yellow"/>
        </w:rPr>
      </w:pPr>
      <w:r w:rsidDel="00000000" w:rsidR="00000000" w:rsidRPr="00000000">
        <w:rPr>
          <w:b w:val="1"/>
          <w:bCs w:val="1"/>
          <w:sz w:val="24"/>
          <w:szCs w:val="24"/>
          <w:highlight w:val="yellow"/>
          <w:rtl w:val="0"/>
        </w:rPr>
        <w:t xml:space="preserve">Revisar metodología 2026 (tiene detalle de encuesta y algo mas):</w:t>
      </w:r>
    </w:p>
    <w:p w:rsidR="00000000" w:rsidDel="00000000" w:rsidP="00000000" w:rsidRDefault="00000000" w:rsidRPr="00000000" w14:paraId="00000028">
      <w:pPr>
        <w:rPr>
          <w:i w:val="1"/>
          <w:iCs w:val="1"/>
          <w:sz w:val="24"/>
          <w:szCs w:val="24"/>
        </w:rPr>
      </w:pPr>
      <w:r w:rsidDel="00000000" w:rsidR="00000000" w:rsidRPr="00000000">
        <w:rPr>
          <w:sz w:val="24"/>
          <w:szCs w:val="24"/>
          <w:rtl w:val="0"/>
        </w:rPr>
        <w:t xml:space="preserve">https://www.timeshighereducation.com/sites/default/files/breaking_news_files/the_world_university_rankings_2026_methodology.pdf</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6DjduBgq361jGH_Ve1dhGpUCSNHSMx0UGT_VLPmvWJs/edit?tab=t.0" TargetMode="External"/><Relationship Id="rId7" Type="http://schemas.openxmlformats.org/officeDocument/2006/relationships/hyperlink" Target="https://gamma.app/docs/Analisis-de-los-Subrankings-de-Ingenieria-en-QS-y-THE-fczxhxp0j5j381y?mode=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