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40" w:before="240" w:lineRule="auto"/>
        <w:rPr/>
      </w:pPr>
      <w:bookmarkStart w:colFirst="0" w:colLast="0" w:name="_kz9p1tjd5jqa" w:id="0"/>
      <w:bookmarkEnd w:id="0"/>
      <w:r w:rsidDel="00000000" w:rsidR="00000000" w:rsidRPr="00000000">
        <w:rPr>
          <w:rtl w:val="0"/>
        </w:rPr>
        <w:t xml:space="preserve">Hallazgos SCImago</w:t>
      </w:r>
    </w:p>
    <w:p w:rsidR="00000000" w:rsidDel="00000000" w:rsidP="00000000" w:rsidRDefault="00000000" w:rsidRPr="00000000" w14:paraId="00000002">
      <w:pPr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SCImago es el Ranking Más Complejo y Alineado con la "Third Mission" Universitaria (Investigación (50%), Innovación (30%), Impacto Social (20%)).</w:t>
      </w:r>
    </w:p>
    <w:p w:rsidR="00000000" w:rsidDel="00000000" w:rsidP="00000000" w:rsidRDefault="00000000" w:rsidRPr="00000000" w14:paraId="00000003">
      <w:pPr>
        <w:keepNext w:val="0"/>
        <w:keepLines w:val="0"/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Innovación se Mide de Forma Integral y Concreta (Innovative Knowledge (10%), Patents (10%), Technological Impact (10%))</w:t>
      </w:r>
    </w:p>
    <w:p w:rsidR="00000000" w:rsidDel="00000000" w:rsidP="00000000" w:rsidRDefault="00000000" w:rsidRPr="00000000" w14:paraId="00000005">
      <w:pPr>
        <w:keepNext w:val="0"/>
        <w:keepLines w:val="0"/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Investigación se Mide con Enfoque en Calidad y Liderazgo, NO volumen.</w:t>
      </w:r>
    </w:p>
    <w:p w:rsidR="00000000" w:rsidDel="00000000" w:rsidP="00000000" w:rsidRDefault="00000000" w:rsidRPr="00000000" w14:paraId="00000007">
      <w:pPr>
        <w:keepNext w:val="0"/>
        <w:keepLines w:val="0"/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SCImago Utiliza Fuentes de Datos Externas y Objetivas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Scopus</w:t>
      </w:r>
      <w:r w:rsidDel="00000000" w:rsidR="00000000" w:rsidRPr="00000000">
        <w:rPr>
          <w:rtl w:val="0"/>
        </w:rPr>
        <w:t xml:space="preserve"> para investigación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PATSTAT</w:t>
      </w:r>
      <w:r w:rsidDel="00000000" w:rsidR="00000000" w:rsidRPr="00000000">
        <w:rPr>
          <w:rtl w:val="0"/>
        </w:rPr>
        <w:t xml:space="preserve"> para innovación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Google/Semrush</w:t>
      </w:r>
      <w:r w:rsidDel="00000000" w:rsidR="00000000" w:rsidRPr="00000000">
        <w:rPr>
          <w:rtl w:val="0"/>
        </w:rPr>
        <w:t xml:space="preserve"> para visibilidad web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Overton</w:t>
      </w:r>
      <w:r w:rsidDel="00000000" w:rsidR="00000000" w:rsidRPr="00000000">
        <w:rPr>
          <w:rtl w:val="0"/>
        </w:rPr>
        <w:t xml:space="preserve"> para impacto en políticas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PlumX/Mendeley</w:t>
      </w:r>
      <w:r w:rsidDel="00000000" w:rsidR="00000000" w:rsidRPr="00000000">
        <w:rPr>
          <w:rtl w:val="0"/>
        </w:rPr>
        <w:t xml:space="preserve"> para altmetrics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—-------------------------------------------—-------------------------------------------—---------------------------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Las tres principales universidades sesgan demasiado la comparativa de instituciones académicas a nivel nacional, tanto así, que si hiciéramos un nivelado de las universidades, la PUCV se consideraría dentro del nivel medio-bajo y hace que el nivel de competitividad sea mediocre dentro del sistema nacional.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