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wlfpbq9vk0h1" w:id="0"/>
      <w:bookmarkEnd w:id="0"/>
      <w:r w:rsidDel="00000000" w:rsidR="00000000" w:rsidRPr="00000000">
        <w:rPr>
          <w:b w:val="1"/>
          <w:bCs w:val="1"/>
          <w:color w:val="1b1c1d"/>
          <w:sz w:val="34"/>
          <w:szCs w:val="34"/>
          <w:rtl w:val="0"/>
        </w:rPr>
        <w:t xml:space="preserve">Background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 2009 se publicó la </w:t>
      </w:r>
      <w:r w:rsidDel="00000000" w:rsidR="00000000" w:rsidRPr="00000000">
        <w:rPr>
          <w:b w:val="1"/>
          <w:bCs w:val="1"/>
          <w:color w:val="1b1c1d"/>
          <w:rtl w:val="0"/>
        </w:rPr>
        <w:t xml:space="preserve">primera edición del SCImago IBER</w:t>
      </w:r>
      <w:r w:rsidDel="00000000" w:rsidR="00000000" w:rsidRPr="00000000">
        <w:rPr>
          <w:color w:val="1b1c1d"/>
          <w:rtl w:val="0"/>
        </w:rPr>
        <w:t xml:space="preserve"> como una clasificación anual para las instituciones del sector universitario de los países de la región Iberoamericana, con una producción científica mínima de 1 documento en revistas indexadas en Scopus en un período establecido de 5 años.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Hasta 2021, el </w:t>
      </w:r>
      <w:r w:rsidDel="00000000" w:rsidR="00000000" w:rsidRPr="00000000">
        <w:rPr>
          <w:b w:val="1"/>
          <w:bCs w:val="1"/>
          <w:color w:val="1b1c1d"/>
          <w:rtl w:val="0"/>
        </w:rPr>
        <w:t xml:space="preserve">SCImago IBER</w:t>
      </w:r>
      <w:r w:rsidDel="00000000" w:rsidR="00000000" w:rsidRPr="00000000">
        <w:rPr>
          <w:color w:val="1b1c1d"/>
          <w:rtl w:val="0"/>
        </w:rPr>
        <w:t xml:space="preserve"> fue concebido como una </w:t>
      </w:r>
      <w:r w:rsidDel="00000000" w:rsidR="00000000" w:rsidRPr="00000000">
        <w:rPr>
          <w:b w:val="1"/>
          <w:bCs w:val="1"/>
          <w:color w:val="1b1c1d"/>
          <w:rtl w:val="0"/>
        </w:rPr>
        <w:t xml:space="preserve">tabla de clasificación</w:t>
      </w:r>
      <w:r w:rsidDel="00000000" w:rsidR="00000000" w:rsidRPr="00000000">
        <w:rPr>
          <w:color w:val="1b1c1d"/>
          <w:rtl w:val="0"/>
        </w:rPr>
        <w:t xml:space="preserve"> cuyo propósito era difundir información sobre el desempeño de las instituciones en investigación, innovación e impacto social, caracterizándolas en términos de su contribución científica, económica y social. Con este fin, la publicación del </w:t>
      </w:r>
      <w:r w:rsidDel="00000000" w:rsidR="00000000" w:rsidRPr="00000000">
        <w:rPr>
          <w:i w:val="1"/>
          <w:iCs w:val="1"/>
          <w:color w:val="1b1c1d"/>
          <w:rtl w:val="0"/>
        </w:rPr>
        <w:t xml:space="preserve">ranking</w:t>
      </w:r>
      <w:r w:rsidDel="00000000" w:rsidR="00000000" w:rsidRPr="00000000">
        <w:rPr>
          <w:color w:val="1b1c1d"/>
          <w:rtl w:val="0"/>
        </w:rPr>
        <w:t xml:space="preserve"> se llevó a cabo a través de un informe en el que se establecía la clasificación de las universidades de acuerdo con el número de documentos publicados y se ofrecía información sobre los diferentes indicadores para cada institución.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 las diversas ediciones, además de la tabla de instituciones con los diferentes indicadores, se ofrece un análisis del sector universitario en la región. En las dos últimas ediciones se profundizó el análisis de los países más productivos, incluso detallando el comportamiento según el tipo de universidad (pública o privada), la producción científica en revistas nacionales versus la producción científica en revistas nacionales o el análisis de cocitación por áreas temáticas, entre otros [1].</w:t>
      </w:r>
    </w:p>
    <w:p w:rsidR="00000000" w:rsidDel="00000000" w:rsidP="00000000" w:rsidRDefault="00000000" w:rsidRPr="00000000" w14:paraId="0000000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3ye0igqewv8d" w:id="1"/>
      <w:bookmarkEnd w:id="1"/>
      <w:r w:rsidDel="00000000" w:rsidR="00000000" w:rsidRPr="00000000">
        <w:rPr>
          <w:b w:val="1"/>
          <w:bCs w:val="1"/>
          <w:color w:val="1b1c1d"/>
          <w:sz w:val="34"/>
          <w:szCs w:val="34"/>
          <w:rtl w:val="0"/>
        </w:rPr>
        <w:t xml:space="preserve">Actualizaciones para 2024</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La edición </w:t>
      </w:r>
      <w:r w:rsidDel="00000000" w:rsidR="00000000" w:rsidRPr="00000000">
        <w:rPr>
          <w:b w:val="1"/>
          <w:bCs w:val="1"/>
          <w:color w:val="1b1c1d"/>
          <w:rtl w:val="0"/>
        </w:rPr>
        <w:t xml:space="preserve">SCImago IBER 2024</w:t>
      </w:r>
      <w:r w:rsidDel="00000000" w:rsidR="00000000" w:rsidRPr="00000000">
        <w:rPr>
          <w:color w:val="1b1c1d"/>
          <w:rtl w:val="0"/>
        </w:rPr>
        <w:t xml:space="preserve"> incluye </w:t>
      </w:r>
      <w:r w:rsidDel="00000000" w:rsidR="00000000" w:rsidRPr="00000000">
        <w:rPr>
          <w:b w:val="1"/>
          <w:bCs w:val="1"/>
          <w:color w:val="1b1c1d"/>
          <w:rtl w:val="0"/>
        </w:rPr>
        <w:t xml:space="preserve">3 nuevos indicadores</w:t>
      </w:r>
      <w:r w:rsidDel="00000000" w:rsidR="00000000" w:rsidRPr="00000000">
        <w:rPr>
          <w:color w:val="1b1c1d"/>
          <w:rtl w:val="0"/>
        </w:rPr>
        <w:t xml:space="preserve"> que reflejan de forma más específica el impacto social logrado por una institución, región o país: entre ellos, la generación de nuevo conocimiento relacionado con los </w:t>
      </w:r>
      <w:r w:rsidDel="00000000" w:rsidR="00000000" w:rsidRPr="00000000">
        <w:rPr>
          <w:b w:val="1"/>
          <w:bCs w:val="1"/>
          <w:color w:val="1b1c1d"/>
          <w:rtl w:val="0"/>
        </w:rPr>
        <w:t xml:space="preserve">Objetivos de Desarrollo Sostenible</w:t>
      </w:r>
      <w:r w:rsidDel="00000000" w:rsidR="00000000" w:rsidRPr="00000000">
        <w:rPr>
          <w:color w:val="1b1c1d"/>
          <w:rtl w:val="0"/>
        </w:rPr>
        <w:t xml:space="preserve"> definidos por las Naciones Unidas, la participación de las </w:t>
      </w:r>
      <w:r w:rsidDel="00000000" w:rsidR="00000000" w:rsidRPr="00000000">
        <w:rPr>
          <w:b w:val="1"/>
          <w:bCs w:val="1"/>
          <w:color w:val="1b1c1d"/>
          <w:rtl w:val="0"/>
        </w:rPr>
        <w:t xml:space="preserve">mujeres en los procesos de investigación</w:t>
      </w:r>
      <w:r w:rsidDel="00000000" w:rsidR="00000000" w:rsidRPr="00000000">
        <w:rPr>
          <w:color w:val="1b1c1d"/>
          <w:rtl w:val="0"/>
        </w:rPr>
        <w:t xml:space="preserve"> y el </w:t>
      </w:r>
      <w:r w:rsidDel="00000000" w:rsidR="00000000" w:rsidRPr="00000000">
        <w:rPr>
          <w:b w:val="1"/>
          <w:bCs w:val="1"/>
          <w:color w:val="1b1c1d"/>
          <w:rtl w:val="0"/>
        </w:rPr>
        <w:t xml:space="preserve">uso de los resultados obtenidos en la creación o mejora de políticas públicas</w:t>
      </w:r>
      <w:r w:rsidDel="00000000" w:rsidR="00000000" w:rsidRPr="00000000">
        <w:rPr>
          <w:color w:val="1b1c1d"/>
          <w:rtl w:val="0"/>
        </w:rPr>
        <w:t xml:space="preserve">. La definición de cada indicador puede consultarse en la sección de indicadores.</w:t>
      </w:r>
    </w:p>
    <w:p w:rsidR="00000000" w:rsidDel="00000000" w:rsidP="00000000" w:rsidRDefault="00000000" w:rsidRPr="00000000" w14:paraId="0000000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ppqn0682efpc" w:id="2"/>
      <w:bookmarkEnd w:id="2"/>
      <w:r w:rsidDel="00000000" w:rsidR="00000000" w:rsidRPr="00000000">
        <w:rPr>
          <w:b w:val="1"/>
          <w:bCs w:val="1"/>
          <w:color w:val="1b1c1d"/>
          <w:sz w:val="34"/>
          <w:szCs w:val="34"/>
          <w:rtl w:val="0"/>
        </w:rPr>
        <w:t xml:space="preserve">Metodología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Como ocurre con el </w:t>
      </w:r>
      <w:r w:rsidDel="00000000" w:rsidR="00000000" w:rsidRPr="00000000">
        <w:rPr>
          <w:b w:val="1"/>
          <w:bCs w:val="1"/>
          <w:color w:val="1b1c1d"/>
          <w:rtl w:val="0"/>
        </w:rPr>
        <w:t xml:space="preserve">SIR-SCImago Institutions Rankings</w:t>
      </w:r>
      <w:r w:rsidDel="00000000" w:rsidR="00000000" w:rsidRPr="00000000">
        <w:rPr>
          <w:color w:val="1b1c1d"/>
          <w:rtl w:val="0"/>
        </w:rPr>
        <w:t xml:space="preserve"> (</w:t>
      </w:r>
      <w:hyperlink r:id="rId6">
        <w:r w:rsidDel="00000000" w:rsidR="00000000" w:rsidRPr="00000000">
          <w:rPr>
            <w:color w:val="0b57d0"/>
            <w:u w:val="single"/>
            <w:rtl w:val="0"/>
          </w:rPr>
          <w:t xml:space="preserve">https://www.scimagoir.com/</w:t>
        </w:r>
      </w:hyperlink>
      <w:r w:rsidDel="00000000" w:rsidR="00000000" w:rsidRPr="00000000">
        <w:rPr>
          <w:color w:val="1b1c1d"/>
          <w:rtl w:val="0"/>
        </w:rPr>
        <w:t xml:space="preserve">) y los diferentes productos generados por </w:t>
      </w:r>
      <w:r w:rsidDel="00000000" w:rsidR="00000000" w:rsidRPr="00000000">
        <w:rPr>
          <w:b w:val="1"/>
          <w:bCs w:val="1"/>
          <w:color w:val="1b1c1d"/>
          <w:rtl w:val="0"/>
        </w:rPr>
        <w:t xml:space="preserve">SCImago Research Group</w:t>
      </w:r>
      <w:r w:rsidDel="00000000" w:rsidR="00000000" w:rsidRPr="00000000">
        <w:rPr>
          <w:color w:val="1b1c1d"/>
          <w:rtl w:val="0"/>
        </w:rPr>
        <w:t xml:space="preserve">, los indicadores utilizados son proporcionados por fuentes de renombre: en este caso </w:t>
      </w:r>
      <w:r w:rsidDel="00000000" w:rsidR="00000000" w:rsidRPr="00000000">
        <w:rPr>
          <w:b w:val="1"/>
          <w:bCs w:val="1"/>
          <w:color w:val="1b1c1d"/>
          <w:rtl w:val="0"/>
        </w:rPr>
        <w:t xml:space="preserve">Scopus</w:t>
      </w:r>
      <w:r w:rsidDel="00000000" w:rsidR="00000000" w:rsidRPr="00000000">
        <w:rPr>
          <w:color w:val="1b1c1d"/>
          <w:rtl w:val="0"/>
        </w:rPr>
        <w:t xml:space="preserve">, </w:t>
      </w:r>
      <w:r w:rsidDel="00000000" w:rsidR="00000000" w:rsidRPr="00000000">
        <w:rPr>
          <w:b w:val="1"/>
          <w:bCs w:val="1"/>
          <w:color w:val="1b1c1d"/>
          <w:rtl w:val="0"/>
        </w:rPr>
        <w:t xml:space="preserve">Unpaywall</w:t>
      </w:r>
      <w:r w:rsidDel="00000000" w:rsidR="00000000" w:rsidRPr="00000000">
        <w:rPr>
          <w:color w:val="1b1c1d"/>
          <w:rtl w:val="0"/>
        </w:rPr>
        <w:t xml:space="preserve">, </w:t>
      </w:r>
      <w:r w:rsidDel="00000000" w:rsidR="00000000" w:rsidRPr="00000000">
        <w:rPr>
          <w:b w:val="1"/>
          <w:bCs w:val="1"/>
          <w:color w:val="1b1c1d"/>
          <w:rtl w:val="0"/>
        </w:rPr>
        <w:t xml:space="preserve">Patstat</w:t>
      </w:r>
      <w:r w:rsidDel="00000000" w:rsidR="00000000" w:rsidRPr="00000000">
        <w:rPr>
          <w:color w:val="1b1c1d"/>
          <w:rtl w:val="0"/>
        </w:rPr>
        <w:t xml:space="preserve">, </w:t>
      </w:r>
      <w:r w:rsidDel="00000000" w:rsidR="00000000" w:rsidRPr="00000000">
        <w:rPr>
          <w:b w:val="1"/>
          <w:bCs w:val="1"/>
          <w:color w:val="1b1c1d"/>
          <w:rtl w:val="0"/>
        </w:rPr>
        <w:t xml:space="preserve">PlumX</w:t>
      </w:r>
      <w:r w:rsidDel="00000000" w:rsidR="00000000" w:rsidRPr="00000000">
        <w:rPr>
          <w:color w:val="1b1c1d"/>
          <w:rtl w:val="0"/>
        </w:rPr>
        <w:t xml:space="preserve"> y </w:t>
      </w:r>
      <w:r w:rsidDel="00000000" w:rsidR="00000000" w:rsidRPr="00000000">
        <w:rPr>
          <w:b w:val="1"/>
          <w:bCs w:val="1"/>
          <w:color w:val="1b1c1d"/>
          <w:rtl w:val="0"/>
        </w:rPr>
        <w:t xml:space="preserve">Mendeley</w:t>
      </w:r>
      <w:r w:rsidDel="00000000" w:rsidR="00000000" w:rsidRPr="00000000">
        <w:rPr>
          <w:color w:val="1b1c1d"/>
          <w:rtl w:val="0"/>
        </w:rPr>
        <w:t xml:space="preserve">; cuentan con un sólido soporte metodológico y han sido ampliamente discutidos y aceptados dentro de la comunidad científica internacional (van Raan, 2004, Moed, 2005; 2015, </w:t>
      </w:r>
      <w:r w:rsidDel="00000000" w:rsidR="00000000" w:rsidRPr="00000000">
        <w:rPr>
          <w:color w:val="1b1c1d"/>
          <w:rtl w:val="0"/>
        </w:rPr>
        <w:t xml:space="preserve">Wilsdon</w:t>
      </w:r>
      <w:r w:rsidDel="00000000" w:rsidR="00000000" w:rsidRPr="00000000">
        <w:rPr>
          <w:color w:val="1b1c1d"/>
          <w:rtl w:val="0"/>
        </w:rPr>
        <w:t xml:space="preserve"> et al., 2015, Waltman, 2016, Bornmann, 2017; Guerrero-Bote; Sánchez-Jiménez; Moya-Anegón, 2019; Bornmann et al., 2020; Guerrero-Bote; Moed; Moya-Anegón., 2021).</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Al mismo tiempo, para el cálculo y la generación de los diferentes indicadores, </w:t>
      </w:r>
      <w:r w:rsidDel="00000000" w:rsidR="00000000" w:rsidRPr="00000000">
        <w:rPr>
          <w:b w:val="1"/>
          <w:bCs w:val="1"/>
          <w:color w:val="1b1c1d"/>
          <w:rtl w:val="0"/>
        </w:rPr>
        <w:t xml:space="preserve">SCImago</w:t>
      </w:r>
      <w:r w:rsidDel="00000000" w:rsidR="00000000" w:rsidRPr="00000000">
        <w:rPr>
          <w:color w:val="1b1c1d"/>
          <w:rtl w:val="0"/>
        </w:rPr>
        <w:t xml:space="preserve"> ha desarrollado una metodología que requiere un exhaustivo proceso de </w:t>
      </w:r>
      <w:r w:rsidDel="00000000" w:rsidR="00000000" w:rsidRPr="00000000">
        <w:rPr>
          <w:b w:val="1"/>
          <w:bCs w:val="1"/>
          <w:color w:val="1b1c1d"/>
          <w:rtl w:val="0"/>
        </w:rPr>
        <w:t xml:space="preserve">estandarización de la información</w:t>
      </w:r>
      <w:r w:rsidDel="00000000" w:rsidR="00000000" w:rsidRPr="00000000">
        <w:rPr>
          <w:color w:val="1b1c1d"/>
          <w:rtl w:val="0"/>
        </w:rPr>
        <w:t xml:space="preserve"> que implica:</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La definición e identificación única de las instituciones</w:t>
      </w:r>
      <w:r w:rsidDel="00000000" w:rsidR="00000000" w:rsidRPr="00000000">
        <w:rPr>
          <w:color w:val="1b1c1d"/>
          <w:rtl w:val="0"/>
        </w:rPr>
        <w:t xml:space="preserve">, ya que existen múltiples inconvenientes en la estandarización de las instituciones debido a la ambigüedad de sus nombres en la afiliación institucional. Las actividades típicas para esta tarea incluyen la fusión o segregación de instituciones y los cambios de nombre.</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La atribución de publicaciones y citas a cada institución</w:t>
      </w:r>
      <w:r w:rsidDel="00000000" w:rsidR="00000000" w:rsidRPr="00000000">
        <w:rPr>
          <w:color w:val="1b1c1d"/>
          <w:rtl w:val="0"/>
        </w:rPr>
        <w:t xml:space="preserve">. Se tiene en cuenta la afiliación institucional de cada autor, asignando múltiples afiliaciones según corresponda e identificando múltiples documentos con el mismo DOI y/o título.</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La agrupación de instituciones por sector</w:t>
      </w:r>
      <w:r w:rsidDel="00000000" w:rsidR="00000000" w:rsidRPr="00000000">
        <w:rPr>
          <w:color w:val="1b1c1d"/>
          <w:rtl w:val="0"/>
        </w:rPr>
        <w:t xml:space="preserve">. Las instituciones se han agrupado en los sectores de Universidades, Gobierno, Salud, Empresas y Sin Fines de Lucro.</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La agrupación jerárquica de instituciones</w:t>
      </w:r>
      <w:r w:rsidDel="00000000" w:rsidR="00000000" w:rsidRPr="00000000">
        <w:rPr>
          <w:color w:val="1b1c1d"/>
          <w:rtl w:val="0"/>
        </w:rPr>
        <w:t xml:space="preserve">. Aquellas instituciones que tienen estructuras subordinadas (marcadas con asterisco en las tablas) se han agrupado para reflejar la capacidad de producción científica del conjunto. Dependiendo de su posición en la jerarquía, las instituciones pueden clasificarse por niveles desde 0 (nivel más alto para las instituciones matrices) hasta 4 (nivel más bajo). Véase el ejemplo a continuación:</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Pr>
        <w:drawing>
          <wp:inline distB="114300" distT="114300" distL="114300" distR="114300">
            <wp:extent cx="5731200" cy="3543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Para los fines de la clasificación, el cálculo se genera cada año a partir de los resultados obtenidos durante un período de </w:t>
      </w:r>
      <w:r w:rsidDel="00000000" w:rsidR="00000000" w:rsidRPr="00000000">
        <w:rPr>
          <w:b w:val="1"/>
          <w:bCs w:val="1"/>
          <w:color w:val="1b1c1d"/>
          <w:rtl w:val="0"/>
        </w:rPr>
        <w:t xml:space="preserve">cinco años</w:t>
      </w:r>
      <w:r w:rsidDel="00000000" w:rsidR="00000000" w:rsidRPr="00000000">
        <w:rPr>
          <w:color w:val="1b1c1d"/>
          <w:rtl w:val="0"/>
        </w:rPr>
        <w:t xml:space="preserve"> que finaliza el último año antes de la edición de la clasificación. Por ejemplo, para el SIR Iber 2024, los resultados que se muestran son los del quinquenio </w:t>
      </w:r>
      <w:r w:rsidDel="00000000" w:rsidR="00000000" w:rsidRPr="00000000">
        <w:rPr>
          <w:b w:val="1"/>
          <w:bCs w:val="1"/>
          <w:color w:val="1b1c1d"/>
          <w:rtl w:val="0"/>
        </w:rPr>
        <w:t xml:space="preserve">2019-2023</w:t>
      </w:r>
      <w:r w:rsidDel="00000000" w:rsidR="00000000" w:rsidRPr="00000000">
        <w:rPr>
          <w:color w:val="1b1c1d"/>
          <w:rtl w:val="0"/>
        </w:rPr>
        <w:t xml:space="preserve">. Como ya se mencionó, desde 2023, el </w:t>
      </w:r>
      <w:r w:rsidDel="00000000" w:rsidR="00000000" w:rsidRPr="00000000">
        <w:rPr>
          <w:b w:val="1"/>
          <w:bCs w:val="1"/>
          <w:color w:val="1b1c1d"/>
          <w:rtl w:val="0"/>
        </w:rPr>
        <w:t xml:space="preserve">SIR Iber</w:t>
      </w:r>
      <w:r w:rsidDel="00000000" w:rsidR="00000000" w:rsidRPr="00000000">
        <w:rPr>
          <w:color w:val="1b1c1d"/>
          <w:rtl w:val="0"/>
        </w:rPr>
        <w:t xml:space="preserve"> incluye instituciones Iberoamericanas de todos los sectores que hayan publicado al menos un documento en revistas Scopus en el período de análisis [2].</w:t>
      </w:r>
    </w:p>
    <w:p w:rsidR="00000000" w:rsidDel="00000000" w:rsidP="00000000" w:rsidRDefault="00000000" w:rsidRPr="00000000" w14:paraId="0000001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qc7x4j8tjk75" w:id="3"/>
      <w:bookmarkEnd w:id="3"/>
      <w:r w:rsidDel="00000000" w:rsidR="00000000" w:rsidRPr="00000000">
        <w:rPr>
          <w:b w:val="1"/>
          <w:bCs w:val="1"/>
          <w:color w:val="1b1c1d"/>
          <w:sz w:val="34"/>
          <w:szCs w:val="34"/>
          <w:rtl w:val="0"/>
        </w:rPr>
        <w:t xml:space="preserve">Indicadores y Factores de Medición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w:t>
      </w:r>
      <w:r w:rsidDel="00000000" w:rsidR="00000000" w:rsidRPr="00000000">
        <w:rPr>
          <w:b w:val="1"/>
          <w:bCs w:val="1"/>
          <w:color w:val="1b1c1d"/>
          <w:rtl w:val="0"/>
        </w:rPr>
        <w:t xml:space="preserve">SCImago Iber</w:t>
      </w:r>
      <w:r w:rsidDel="00000000" w:rsidR="00000000" w:rsidRPr="00000000">
        <w:rPr>
          <w:color w:val="1b1c1d"/>
          <w:rtl w:val="0"/>
        </w:rPr>
        <w:t xml:space="preserve"> contiene información sobre </w:t>
      </w:r>
      <w:r w:rsidDel="00000000" w:rsidR="00000000" w:rsidRPr="00000000">
        <w:rPr>
          <w:b w:val="1"/>
          <w:bCs w:val="1"/>
          <w:color w:val="1b1c1d"/>
          <w:rtl w:val="0"/>
        </w:rPr>
        <w:t xml:space="preserve">16 indicadores</w:t>
      </w:r>
      <w:r w:rsidDel="00000000" w:rsidR="00000000" w:rsidRPr="00000000">
        <w:rPr>
          <w:color w:val="1b1c1d"/>
          <w:rtl w:val="0"/>
        </w:rPr>
        <w:t xml:space="preserve"> que reflejan la actividad científica en </w:t>
      </w:r>
      <w:r w:rsidDel="00000000" w:rsidR="00000000" w:rsidRPr="00000000">
        <w:rPr>
          <w:b w:val="1"/>
          <w:bCs w:val="1"/>
          <w:color w:val="1b1c1d"/>
          <w:rtl w:val="0"/>
        </w:rPr>
        <w:t xml:space="preserve">3 áreas diferentes</w:t>
      </w:r>
      <w:r w:rsidDel="00000000" w:rsidR="00000000" w:rsidRPr="00000000">
        <w:rPr>
          <w:color w:val="1b1c1d"/>
          <w:rtl w:val="0"/>
        </w:rPr>
        <w:t xml:space="preserve">: </w:t>
      </w:r>
      <w:r w:rsidDel="00000000" w:rsidR="00000000" w:rsidRPr="00000000">
        <w:rPr>
          <w:b w:val="1"/>
          <w:bCs w:val="1"/>
          <w:color w:val="1b1c1d"/>
          <w:rtl w:val="0"/>
        </w:rPr>
        <w:t xml:space="preserve">investigación</w:t>
      </w:r>
      <w:r w:rsidDel="00000000" w:rsidR="00000000" w:rsidRPr="00000000">
        <w:rPr>
          <w:color w:val="1b1c1d"/>
          <w:rtl w:val="0"/>
        </w:rPr>
        <w:t xml:space="preserve">, </w:t>
      </w:r>
      <w:r w:rsidDel="00000000" w:rsidR="00000000" w:rsidRPr="00000000">
        <w:rPr>
          <w:b w:val="1"/>
          <w:bCs w:val="1"/>
          <w:color w:val="1b1c1d"/>
          <w:rtl w:val="0"/>
        </w:rPr>
        <w:t xml:space="preserve">innovación</w:t>
      </w:r>
      <w:r w:rsidDel="00000000" w:rsidR="00000000" w:rsidRPr="00000000">
        <w:rPr>
          <w:color w:val="1b1c1d"/>
          <w:rtl w:val="0"/>
        </w:rPr>
        <w:t xml:space="preserve"> e </w:t>
      </w:r>
      <w:r w:rsidDel="00000000" w:rsidR="00000000" w:rsidRPr="00000000">
        <w:rPr>
          <w:b w:val="1"/>
          <w:bCs w:val="1"/>
          <w:color w:val="1b1c1d"/>
          <w:rtl w:val="0"/>
        </w:rPr>
        <w:t xml:space="preserve">impacto social</w:t>
      </w:r>
      <w:r w:rsidDel="00000000" w:rsidR="00000000" w:rsidRPr="00000000">
        <w:rPr>
          <w:color w:val="1b1c1d"/>
          <w:rtl w:val="0"/>
        </w:rPr>
        <w:t xml:space="preserve">, que constituyen una visión integral del desempeño de la actividad investigadora de una institución, una región o un país, observando la capacidad de producción científica, su vínculo con el sector productivo y su difusión y fortalecimiento a través de buenas prácticas en la comunicación científica basada en la web.</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b1c1d"/>
          <w:sz w:val="34"/>
          <w:szCs w:val="34"/>
        </w:rPr>
      </w:pPr>
      <w:bookmarkStart w:colFirst="0" w:colLast="0" w:name="_yijpyl8nt6vf" w:id="4"/>
      <w:bookmarkEnd w:id="4"/>
      <w:r w:rsidDel="00000000" w:rsidR="00000000" w:rsidRPr="00000000">
        <w:rPr>
          <w:b w:val="1"/>
          <w:bCs w:val="1"/>
          <w:color w:val="1b1c1d"/>
          <w:sz w:val="34"/>
          <w:szCs w:val="34"/>
          <w:rtl w:val="0"/>
        </w:rPr>
        <w:t xml:space="preserve">Indicadores Dependientes del Tamaño (Size-Dependent)</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sz w:val="22"/>
          <w:szCs w:val="22"/>
        </w:rPr>
      </w:pPr>
      <w:bookmarkStart w:colFirst="0" w:colLast="0" w:name="_nfdbx4iqbyhy" w:id="5"/>
      <w:bookmarkEnd w:id="5"/>
      <w:r w:rsidDel="00000000" w:rsidR="00000000" w:rsidRPr="00000000">
        <w:rPr>
          <w:color w:val="1b1c1d"/>
          <w:sz w:val="22"/>
          <w:szCs w:val="22"/>
          <w:rtl w:val="0"/>
        </w:rPr>
        <w:t xml:space="preserve">Estos indicadores son métricas absolutas o de conteo cuyo valor aumenta simplemente porque la institución publica más documentos o tiene más investigadores.</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b1c1d"/>
          <w:sz w:val="34"/>
          <w:szCs w:val="34"/>
        </w:rPr>
      </w:pPr>
      <w:bookmarkStart w:colFirst="0" w:colLast="0" w:name="_yvemx32hkkqp" w:id="6"/>
      <w:bookmarkEnd w:id="6"/>
      <w:r w:rsidDel="00000000" w:rsidR="00000000" w:rsidRPr="00000000">
        <w:rPr>
          <w:b w:val="1"/>
          <w:bCs w:val="1"/>
          <w:color w:val="1b1c1d"/>
          <w:sz w:val="34"/>
          <w:szCs w:val="34"/>
          <w:rtl w:val="0"/>
        </w:rPr>
        <w:t xml:space="preserve">Indicadores Independientes del Tamaño (Size-Independent)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Estos indicadores son métricas </w:t>
      </w:r>
      <w:r w:rsidDel="00000000" w:rsidR="00000000" w:rsidRPr="00000000">
        <w:rPr>
          <w:b w:val="1"/>
          <w:bCs w:val="1"/>
          <w:color w:val="1b1c1d"/>
          <w:rtl w:val="0"/>
        </w:rPr>
        <w:t xml:space="preserve">relativas</w:t>
      </w:r>
      <w:r w:rsidDel="00000000" w:rsidR="00000000" w:rsidRPr="00000000">
        <w:rPr>
          <w:color w:val="1b1c1d"/>
          <w:rtl w:val="0"/>
        </w:rPr>
        <w:t xml:space="preserve"> o </w:t>
      </w:r>
      <w:r w:rsidDel="00000000" w:rsidR="00000000" w:rsidRPr="00000000">
        <w:rPr>
          <w:b w:val="1"/>
          <w:bCs w:val="1"/>
          <w:color w:val="1b1c1d"/>
          <w:rtl w:val="0"/>
        </w:rPr>
        <w:t xml:space="preserve">normalizadas</w:t>
      </w:r>
      <w:r w:rsidDel="00000000" w:rsidR="00000000" w:rsidRPr="00000000">
        <w:rPr>
          <w:color w:val="1b1c1d"/>
          <w:rtl w:val="0"/>
        </w:rPr>
        <w:t xml:space="preserve"> que se expresan como porcentajes o ratios.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uolg8h6zfvb" w:id="7"/>
      <w:bookmarkEnd w:id="7"/>
      <w:r w:rsidDel="00000000" w:rsidR="00000000" w:rsidRPr="00000000">
        <w:rPr>
          <w:b w:val="1"/>
          <w:bCs w:val="1"/>
          <w:color w:val="1b1c1d"/>
          <w:sz w:val="26"/>
          <w:szCs w:val="26"/>
          <w:rtl w:val="0"/>
        </w:rPr>
        <w:t xml:space="preserve">Investigación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Los indicadores correspondientes al factor investigación buscan reflejar la capacidad institucional para generar productos científicos y difundirlos a través de canales de comunicación científica reconocidos. Para ello, la fuente de información es la </w:t>
      </w:r>
      <w:r w:rsidDel="00000000" w:rsidR="00000000" w:rsidRPr="00000000">
        <w:rPr>
          <w:b w:val="1"/>
          <w:bCs w:val="1"/>
          <w:color w:val="1b1c1d"/>
          <w:rtl w:val="0"/>
        </w:rPr>
        <w:t xml:space="preserve">producción científica en revistas indexadas en Scopus</w:t>
      </w:r>
      <w:r w:rsidDel="00000000" w:rsidR="00000000" w:rsidRPr="00000000">
        <w:rPr>
          <w:color w:val="1b1c1d"/>
          <w:rtl w:val="0"/>
        </w:rPr>
        <w:t xml:space="preserve">, teniendo en cuenta que este tipo de publicaciones implica procesos rigurosos de estandarización, edición y evaluación que acreditan la validez de los resultados publicados (Bordons; Fernández; Gómez, 2002; Van-Raan, 2004; Moed, 2005; 2009; Waltman et al., 2011; Codina-Canet; Olmeda-Gómez; Perianes-Rodríguez, 2013; Waltman, 2016).</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 el caso de los indicadores de impacto, el eje central es la </w:t>
      </w:r>
      <w:r w:rsidDel="00000000" w:rsidR="00000000" w:rsidRPr="00000000">
        <w:rPr>
          <w:b w:val="1"/>
          <w:bCs w:val="1"/>
          <w:color w:val="1b1c1d"/>
          <w:rtl w:val="0"/>
        </w:rPr>
        <w:t xml:space="preserve">cita</w:t>
      </w:r>
      <w:r w:rsidDel="00000000" w:rsidR="00000000" w:rsidRPr="00000000">
        <w:rPr>
          <w:color w:val="1b1c1d"/>
          <w:rtl w:val="0"/>
        </w:rPr>
        <w:t xml:space="preserve">, entendiendo que la cita en sí misma establece vínculos necesarios entre personas, ideas, revistas e instituciones para constituir un campo de estudio que puede ser analizado cuantitativamente. También implica el reconocimiento de la utilidad del documento citado y proporciona un vínculo temporal entre la publicación de las referencias y las citas realizadas (Bornmann, Mutz, Neuhaus, &amp; Daniel, 2008, Moed, 2009, Mingers &amp; Leydesdorff, 2015., Gorraiz et al., 2021).</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En consecuencia, aunque se tiene en cuenta el número de documentos producidos, parte de la riqueza del </w:t>
      </w:r>
      <w:r w:rsidDel="00000000" w:rsidR="00000000" w:rsidRPr="00000000">
        <w:rPr>
          <w:b w:val="1"/>
          <w:bCs w:val="1"/>
          <w:color w:val="1b1c1d"/>
          <w:rtl w:val="0"/>
        </w:rPr>
        <w:t xml:space="preserve">SIR Iber</w:t>
      </w:r>
      <w:r w:rsidDel="00000000" w:rsidR="00000000" w:rsidRPr="00000000">
        <w:rPr>
          <w:color w:val="1b1c1d"/>
          <w:rtl w:val="0"/>
        </w:rPr>
        <w:t xml:space="preserve"> es la información relacionada con la contribución institucional, regional o nacional de estos documentos en el campo científico global, en relación con la </w:t>
      </w:r>
      <w:r w:rsidDel="00000000" w:rsidR="00000000" w:rsidRPr="00000000">
        <w:rPr>
          <w:b w:val="1"/>
          <w:bCs w:val="1"/>
          <w:color w:val="1b1c1d"/>
          <w:rtl w:val="0"/>
        </w:rPr>
        <w:t xml:space="preserve">excelencia</w:t>
      </w:r>
      <w:r w:rsidDel="00000000" w:rsidR="00000000" w:rsidRPr="00000000">
        <w:rPr>
          <w:color w:val="1b1c1d"/>
          <w:rtl w:val="0"/>
        </w:rPr>
        <w:t xml:space="preserve">, el </w:t>
      </w:r>
      <w:r w:rsidDel="00000000" w:rsidR="00000000" w:rsidRPr="00000000">
        <w:rPr>
          <w:b w:val="1"/>
          <w:bCs w:val="1"/>
          <w:color w:val="1b1c1d"/>
          <w:rtl w:val="0"/>
        </w:rPr>
        <w:t xml:space="preserve">liderazgo</w:t>
      </w:r>
      <w:r w:rsidDel="00000000" w:rsidR="00000000" w:rsidRPr="00000000">
        <w:rPr>
          <w:color w:val="1b1c1d"/>
          <w:rtl w:val="0"/>
        </w:rPr>
        <w:t xml:space="preserve"> y el </w:t>
      </w:r>
      <w:r w:rsidDel="00000000" w:rsidR="00000000" w:rsidRPr="00000000">
        <w:rPr>
          <w:b w:val="1"/>
          <w:bCs w:val="1"/>
          <w:color w:val="1b1c1d"/>
          <w:rtl w:val="0"/>
        </w:rPr>
        <w:t xml:space="preserve">impacto normalizado</w:t>
      </w:r>
      <w:r w:rsidDel="00000000" w:rsidR="00000000" w:rsidRPr="00000000">
        <w:rPr>
          <w:color w:val="1b1c1d"/>
          <w:rtl w:val="0"/>
        </w:rPr>
        <w:t xml:space="preserve">. Al mismo tiempo, indicadores como el número de publicaciones en acceso abierto, la producción en revistas no editadas por una unidad de análisis o la capacidad de desarrollar actividades de gestión editorial proporcionan información valiosa para diferentes tipos de análisis.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Se consideran todos los tipos de documentos en SCOPUS excepto Retracted, Erratum y Preprint.</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7xqzgro7e8t" w:id="8"/>
      <w:bookmarkEnd w:id="8"/>
      <w:r w:rsidDel="00000000" w:rsidR="00000000" w:rsidRPr="00000000">
        <w:rPr>
          <w:b w:val="1"/>
          <w:bCs w:val="1"/>
          <w:color w:val="1b1c1d"/>
          <w:sz w:val="22"/>
          <w:szCs w:val="22"/>
          <w:rtl w:val="0"/>
        </w:rPr>
        <w:t xml:space="preserve">Indicadores de Investigación</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4710"/>
        <w:gridCol w:w="1950"/>
        <w:tblGridChange w:id="0">
          <w:tblGrid>
            <w:gridCol w:w="2130"/>
            <w:gridCol w:w="4710"/>
            <w:gridCol w:w="195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Indicador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Definición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Tipo</w:t>
            </w:r>
          </w:p>
        </w:tc>
      </w:tr>
      <w:tr>
        <w:trPr>
          <w:cantSplit w:val="0"/>
          <w:trHeight w:val="330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bCs w:val="1"/>
                <w:color w:val="1b1c1d"/>
                <w:rtl w:val="0"/>
              </w:rPr>
              <w:t xml:space="preserve">Excelencia con Liderazgo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Número total de documentos publicados por la institución, región o país, cuyo autor de correspondencia pertenece a esa unidad de análisis y también se encuentra dentro del 10% de los documentos más citados en su categoría temática. Refleja la capacidad de la institución para liderar investigación de alta calidad (Moya-Anegón et al., 2013; Bornmann et al., 2014).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Dependiente del tamaño.</w:t>
            </w:r>
          </w:p>
        </w:tc>
      </w:tr>
      <w:tr>
        <w:trPr>
          <w:cantSplit w:val="0"/>
          <w:trHeight w:val="72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b w:val="1"/>
                <w:bCs w:val="1"/>
                <w:color w:val="1b1c1d"/>
              </w:rPr>
            </w:pPr>
            <w:r w:rsidDel="00000000" w:rsidR="00000000" w:rsidRPr="00000000">
              <w:rPr>
                <w:b w:val="1"/>
                <w:bCs w:val="1"/>
                <w:color w:val="1b1c1d"/>
                <w:rtl w:val="0"/>
              </w:rPr>
              <w:t xml:space="preserve">Impacto Normalizado</w:t>
            </w:r>
          </w:p>
          <w:p w:rsidR="00000000" w:rsidDel="00000000" w:rsidP="00000000" w:rsidRDefault="00000000" w:rsidRPr="00000000" w14:paraId="00000027">
            <w:pPr>
              <w:spacing w:after="480" w:lineRule="auto"/>
              <w:rPr>
                <w:b w:val="1"/>
                <w:bCs w:val="1"/>
                <w:color w:val="1b1c1d"/>
              </w:rPr>
            </w:pPr>
            <w:r w:rsidDel="00000000" w:rsidR="00000000" w:rsidRPr="00000000">
              <w:rPr>
                <w:rtl w:val="0"/>
              </w:rPr>
            </w:r>
          </w:p>
          <w:p w:rsidR="00000000" w:rsidDel="00000000" w:rsidP="00000000" w:rsidRDefault="00000000" w:rsidRPr="00000000" w14:paraId="00000028">
            <w:pPr>
              <w:spacing w:after="480" w:lineRule="auto"/>
              <w:rPr>
                <w:b w:val="1"/>
                <w:bCs w:val="1"/>
                <w:color w:val="1b1c1d"/>
              </w:rPr>
            </w:pPr>
            <w:r w:rsidDel="00000000" w:rsidR="00000000" w:rsidRPr="00000000">
              <w:rPr>
                <w:b w:val="1"/>
                <w:bCs w:val="1"/>
                <w:color w:val="1b1c1d"/>
                <w:rtl w:val="0"/>
              </w:rPr>
              <w:t xml:space="preserve">&amp;</w:t>
            </w:r>
          </w:p>
          <w:p w:rsidR="00000000" w:rsidDel="00000000" w:rsidP="00000000" w:rsidRDefault="00000000" w:rsidRPr="00000000" w14:paraId="00000029">
            <w:pPr>
              <w:spacing w:after="480" w:lineRule="auto"/>
              <w:rPr>
                <w:b w:val="1"/>
                <w:bCs w:val="1"/>
                <w:color w:val="1b1c1d"/>
              </w:rPr>
            </w:pPr>
            <w:r w:rsidDel="00000000" w:rsidR="00000000" w:rsidRPr="00000000">
              <w:rPr>
                <w:rtl w:val="0"/>
              </w:rPr>
            </w:r>
          </w:p>
          <w:p w:rsidR="00000000" w:rsidDel="00000000" w:rsidP="00000000" w:rsidRDefault="00000000" w:rsidRPr="00000000" w14:paraId="0000002A">
            <w:pPr>
              <w:spacing w:after="480" w:lineRule="auto"/>
              <w:rPr>
                <w:b w:val="1"/>
                <w:bCs w:val="1"/>
                <w:color w:val="1b1c1d"/>
              </w:rPr>
            </w:pPr>
            <w:r w:rsidDel="00000000" w:rsidR="00000000" w:rsidRPr="00000000">
              <w:rPr>
                <w:b w:val="1"/>
                <w:bCs w:val="1"/>
                <w:color w:val="1b1c1d"/>
                <w:rtl w:val="0"/>
              </w:rPr>
              <w:t xml:space="preserve">Normalized Impact Leadership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El impacto normalizado se calcula sobre la producción de liderazgo de la institución, región o país, según la metodología </w:t>
            </w:r>
            <w:r w:rsidDel="00000000" w:rsidR="00000000" w:rsidRPr="00000000">
              <w:rPr>
                <w:i w:val="1"/>
                <w:iCs w:val="1"/>
                <w:color w:val="1b1c1d"/>
                <w:rtl w:val="0"/>
              </w:rPr>
              <w:t xml:space="preserve">Item oriented field normalized citation score average</w:t>
            </w:r>
            <w:r w:rsidDel="00000000" w:rsidR="00000000" w:rsidRPr="00000000">
              <w:rPr>
                <w:color w:val="1b1c1d"/>
                <w:rtl w:val="0"/>
              </w:rPr>
              <w:t xml:space="preserve"> del Karolinska Institutet [3]. Este indicador refleja el impacto del conocimiento generado por una institución dentro de la comunidad científica internacional. La normalización de los valores de citación se realiza a nivel individual para cada artículo. Los valores expresados en números decimales toman como punto central la </w:t>
            </w:r>
            <w:r w:rsidDel="00000000" w:rsidR="00000000" w:rsidRPr="00000000">
              <w:rPr>
                <w:b w:val="1"/>
                <w:bCs w:val="1"/>
                <w:color w:val="1b1c1d"/>
                <w:rtl w:val="0"/>
              </w:rPr>
              <w:t xml:space="preserve">media mundial de impacto (1)</w:t>
            </w:r>
            <w:r w:rsidDel="00000000" w:rsidR="00000000" w:rsidRPr="00000000">
              <w:rPr>
                <w:color w:val="1b1c1d"/>
                <w:rtl w:val="0"/>
              </w:rPr>
              <w:t xml:space="preserve">. Por lo tanto, si una institución tiene un IN de 0.8, significa que su producción científica es citada un 20% por debajo de la media mundial. Por el contrario, si una institución tiene un IN de 1.3, significa que su producción es citada un 30% por encima de la media mundial de citación (Rehn &amp; Kronman, 2008; González-Pereira, Guerrero-Bote, &amp; Moya-Anegón, 2010; Guerrero-Bote &amp; Moya-Anegón, 2012)</w:t>
            </w:r>
          </w:p>
          <w:p w:rsidR="00000000" w:rsidDel="00000000" w:rsidP="00000000" w:rsidRDefault="00000000" w:rsidRPr="00000000" w14:paraId="0000002C">
            <w:pPr>
              <w:spacing w:after="480" w:lineRule="auto"/>
              <w:rPr>
                <w:color w:val="1b1c1d"/>
              </w:rPr>
            </w:pPr>
            <w:r w:rsidDel="00000000" w:rsidR="00000000" w:rsidRPr="00000000">
              <w:rPr>
                <w:color w:val="1b1c1d"/>
              </w:rPr>
              <w:drawing>
                <wp:inline distB="114300" distT="114300" distL="114300" distR="114300">
                  <wp:extent cx="2762250" cy="825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0" cy="825500"/>
                          </a:xfrm>
                          <a:prstGeom prst="rect"/>
                          <a:ln/>
                        </pic:spPr>
                      </pic:pic>
                    </a:graphicData>
                  </a:graphic>
                </wp:inline>
              </w:drawing>
            </w:r>
            <w:r w:rsidDel="00000000" w:rsidR="00000000" w:rsidRPr="00000000">
              <w:rPr>
                <w:color w:val="1b1c1d"/>
                <w:rtl w:val="0"/>
              </w:rPr>
              <w:t xml:space="preserve">El término "Normalized Impact Leadership" se refiere al subconjunto de documentos (los liderados por la institución) que se utiliza para el cálculo de este indicador de impacto. Osea que la diferencia de valores que se presenta en el Normalized Impact se compone de documentos en los que participa la PUCV pero que fueron liderados por otras instituciones.</w:t>
            </w:r>
          </w:p>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Si el valor NIL es superior al NI, indica que la institución es </w:t>
            </w:r>
            <w:r w:rsidDel="00000000" w:rsidR="00000000" w:rsidRPr="00000000">
              <w:rPr>
                <w:b w:val="1"/>
                <w:bCs w:val="1"/>
                <w:color w:val="1b1c1d"/>
                <w:rtl w:val="0"/>
              </w:rPr>
              <w:t xml:space="preserve">más eficiente y de mayor impacto</w:t>
            </w:r>
            <w:r w:rsidDel="00000000" w:rsidR="00000000" w:rsidRPr="00000000">
              <w:rPr>
                <w:color w:val="1b1c1d"/>
                <w:rtl w:val="0"/>
              </w:rPr>
              <w:t xml:space="preserve"> cuando actúa de forma autónoma o como líder principal.</w:t>
            </w:r>
          </w:p>
          <w:p w:rsidR="00000000" w:rsidDel="00000000" w:rsidP="00000000" w:rsidRDefault="00000000" w:rsidRPr="00000000" w14:paraId="0000002E">
            <w:pPr>
              <w:spacing w:after="240" w:before="240" w:lineRule="auto"/>
              <w:rPr>
                <w:color w:val="1b1c1d"/>
              </w:rPr>
            </w:pPr>
            <w:r w:rsidDel="00000000" w:rsidR="00000000" w:rsidRPr="00000000">
              <w:rPr>
                <w:color w:val="1b1c1d"/>
                <w:rtl w:val="0"/>
              </w:rPr>
              <w:t xml:space="preserve">En este caso, si la institución tiene un impacto bajo en sus colaboraciones (quizás porque contribuye en campos menos citados o en roles secundarios), el </w:t>
            </w:r>
            <w:r w:rsidDel="00000000" w:rsidR="00000000" w:rsidRPr="00000000">
              <w:rPr>
                <w:b w:val="1"/>
                <w:bCs w:val="1"/>
                <w:color w:val="1b1c1d"/>
                <w:rtl w:val="0"/>
              </w:rPr>
              <w:t xml:space="preserve">Output Total</w:t>
            </w:r>
            <w:r w:rsidDel="00000000" w:rsidR="00000000" w:rsidRPr="00000000">
              <w:rPr>
                <w:color w:val="1b1c1d"/>
                <w:rtl w:val="0"/>
              </w:rPr>
              <w:t xml:space="preserve"> (la suma de ambos tipos de documentos) arrastraría hacia abajo el </w:t>
            </w:r>
            <w:r w:rsidDel="00000000" w:rsidR="00000000" w:rsidRPr="00000000">
              <w:rPr>
                <w:b w:val="1"/>
                <w:bCs w:val="1"/>
                <w:color w:val="1b1c1d"/>
                <w:rtl w:val="0"/>
              </w:rPr>
              <w:t xml:space="preserve">Impacto Normalizado (NI)</w:t>
            </w:r>
            <w:r w:rsidDel="00000000" w:rsidR="00000000" w:rsidRPr="00000000">
              <w:rPr>
                <w:color w:val="1b1c1d"/>
                <w:rtl w:val="0"/>
              </w:rPr>
              <w:t xml:space="preserve">.</w:t>
            </w:r>
          </w:p>
          <w:p w:rsidR="00000000" w:rsidDel="00000000" w:rsidP="00000000" w:rsidRDefault="00000000" w:rsidRPr="00000000" w14:paraId="0000002F">
            <w:pPr>
              <w:spacing w:after="240" w:before="240" w:lineRule="auto"/>
              <w:rPr>
                <w:color w:val="1b1c1d"/>
              </w:rPr>
            </w:pPr>
            <w:r w:rsidDel="00000000" w:rsidR="00000000" w:rsidRPr="00000000">
              <w:rPr>
                <w:color w:val="1b1c1d"/>
                <w:rtl w:val="0"/>
              </w:rPr>
              <w:t xml:space="preserve">Por lo tanto, la métrica de </w:t>
            </w:r>
            <w:r w:rsidDel="00000000" w:rsidR="00000000" w:rsidRPr="00000000">
              <w:rPr>
                <w:b w:val="1"/>
                <w:bCs w:val="1"/>
                <w:color w:val="1b1c1d"/>
                <w:rtl w:val="0"/>
              </w:rPr>
              <w:t xml:space="preserve">Liderazgo (NIL)</w:t>
            </w:r>
            <w:r w:rsidDel="00000000" w:rsidR="00000000" w:rsidRPr="00000000">
              <w:rPr>
                <w:color w:val="1b1c1d"/>
                <w:rtl w:val="0"/>
              </w:rPr>
              <w:t xml:space="preserve">, al excluir las publicaciones de menor impacto, mostrará un valor de excelencia </w:t>
            </w:r>
            <w:r w:rsidDel="00000000" w:rsidR="00000000" w:rsidRPr="00000000">
              <w:rPr>
                <w:b w:val="1"/>
                <w:bCs w:val="1"/>
                <w:color w:val="1b1c1d"/>
                <w:rtl w:val="0"/>
              </w:rPr>
              <w:t xml:space="preserve">mayor</w:t>
            </w:r>
            <w:r w:rsidDel="00000000" w:rsidR="00000000" w:rsidRPr="00000000">
              <w:rPr>
                <w:color w:val="1b1c1d"/>
                <w:rtl w:val="0"/>
              </w:rPr>
              <w:t xml:space="preserve"> y más fiel a la capacidad de la institución para generar investigación de alta visibilidad por sí misma.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Independiente del tamaño.</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bCs w:val="1"/>
                <w:color w:val="1b1c1d"/>
                <w:rtl w:val="0"/>
              </w:rPr>
              <w:t xml:space="preserve">Producción</w:t>
            </w:r>
            <w:r w:rsidDel="00000000" w:rsidR="00000000" w:rsidRPr="00000000">
              <w:rPr>
                <w:color w:val="1b1c1d"/>
                <w:rtl w:val="0"/>
              </w:rPr>
              <w:t xml:space="preserve"> (</w:t>
            </w:r>
            <w:r w:rsidDel="00000000" w:rsidR="00000000" w:rsidRPr="00000000">
              <w:rPr>
                <w:i w:val="1"/>
                <w:iCs w:val="1"/>
                <w:color w:val="1b1c1d"/>
                <w:rtl w:val="0"/>
              </w:rPr>
              <w:t xml:space="preserve">Output</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Número total de documentos publicados por una institución, región o país en revistas indexadas en </w:t>
            </w:r>
            <w:r w:rsidDel="00000000" w:rsidR="00000000" w:rsidRPr="00000000">
              <w:rPr>
                <w:b w:val="1"/>
                <w:bCs w:val="1"/>
                <w:color w:val="1b1c1d"/>
                <w:rtl w:val="0"/>
              </w:rPr>
              <w:t xml:space="preserve">Scopus</w:t>
            </w:r>
            <w:r w:rsidDel="00000000" w:rsidR="00000000" w:rsidRPr="00000000">
              <w:rPr>
                <w:color w:val="1b1c1d"/>
                <w:rtl w:val="0"/>
              </w:rPr>
              <w:t xml:space="preserve">. Este indicador muestra la capacidad de una institución para llevar a cabo investigación que permita la generación de producción científica (Romo-Fernández et al., 2011; OCDE; SCImago Research Group, 2015).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Dependiente del tamaño.</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bCs w:val="1"/>
                <w:color w:val="1b1c1d"/>
                <w:rtl w:val="0"/>
              </w:rPr>
              <w:t xml:space="preserve">Reserva de Talento Científico</w:t>
            </w:r>
            <w:r w:rsidDel="00000000" w:rsidR="00000000" w:rsidRPr="00000000">
              <w:rPr>
                <w:color w:val="1b1c1d"/>
                <w:rtl w:val="0"/>
              </w:rPr>
              <w:t xml:space="preserve"> (</w:t>
            </w:r>
            <w:r w:rsidDel="00000000" w:rsidR="00000000" w:rsidRPr="00000000">
              <w:rPr>
                <w:i w:val="1"/>
                <w:iCs w:val="1"/>
                <w:color w:val="1b1c1d"/>
                <w:rtl w:val="0"/>
              </w:rPr>
              <w:t xml:space="preserve">Scientific Talent Pool</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Número de autores diferentes de la misma unidad de análisis que han participado en el número total de documentos publicados. Refleja el número de investigadores activos disponibles y, en consecuencia, el tamaño de su personal.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Dependiente del tamaño.</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bCs w:val="1"/>
                <w:color w:val="1b1c1d"/>
                <w:rtl w:val="0"/>
              </w:rPr>
              <w:t xml:space="preserve">Liderazgo Científico</w:t>
            </w:r>
            <w:r w:rsidDel="00000000" w:rsidR="00000000" w:rsidRPr="00000000">
              <w:rPr>
                <w:color w:val="1b1c1d"/>
                <w:rtl w:val="0"/>
              </w:rPr>
              <w:t xml:space="preserve"> (</w:t>
            </w:r>
            <w:r w:rsidDel="00000000" w:rsidR="00000000" w:rsidRPr="00000000">
              <w:rPr>
                <w:i w:val="1"/>
                <w:iCs w:val="1"/>
                <w:color w:val="1b1c1d"/>
                <w:rtl w:val="0"/>
              </w:rPr>
              <w:t xml:space="preserve">Scientific Leadership</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Documentos totales publicados por una institución, región o país donde la afiliación institucional del investigador principal corresponde a la unidad de análisis. El autor de correspondencia del documento publicado se considera como el investigador principal y refleja la capacidad de una institución para liderar proyectos de investigación (Moya-Anegón, 2012).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Dependiente del tamaño.</w:t>
            </w:r>
          </w:p>
        </w:tc>
      </w:tr>
      <w:tr>
        <w:trPr>
          <w:cantSplit w:val="0"/>
          <w:trHeight w:val="38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bCs w:val="1"/>
                <w:color w:val="1b1c1d"/>
                <w:rtl w:val="0"/>
              </w:rPr>
              <w:t xml:space="preserve">Colaboración Internacional</w:t>
            </w:r>
            <w:r w:rsidDel="00000000" w:rsidR="00000000" w:rsidRPr="00000000">
              <w:rPr>
                <w:color w:val="1b1c1d"/>
                <w:rtl w:val="0"/>
              </w:rPr>
              <w:t xml:space="preserve"> (</w:t>
            </w:r>
            <w:r w:rsidDel="00000000" w:rsidR="00000000" w:rsidRPr="00000000">
              <w:rPr>
                <w:i w:val="1"/>
                <w:iCs w:val="1"/>
                <w:color w:val="1b1c1d"/>
                <w:rtl w:val="0"/>
              </w:rPr>
              <w:t xml:space="preserve">International Collaboration</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Número total de documentos de una institución, región o país donde la afiliación institucional de los autores corresponde a diferentes instituciones y al menos una de ellas es de un país diferente. Este indicador permite conocer la capacidad de una institución para crear redes de colaboración científica (Guerrero-Bote, Olmeda-Gómez, &amp; Moya-Anegón, 2013; Lancho-Barrantes, Guerrero-Bote, &amp; Moya-Anegón, 2013; Chinchilla-Rodríguez et al., 2012).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Dependiente del tamaño.</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bCs w:val="1"/>
                <w:color w:val="1b1c1d"/>
                <w:rtl w:val="0"/>
              </w:rPr>
              <w:t xml:space="preserve">Publicaciones de Alta Calidad</w:t>
            </w:r>
            <w:r w:rsidDel="00000000" w:rsidR="00000000" w:rsidRPr="00000000">
              <w:rPr>
                <w:color w:val="1b1c1d"/>
                <w:rtl w:val="0"/>
              </w:rPr>
              <w:t xml:space="preserve"> (</w:t>
            </w:r>
            <w:r w:rsidDel="00000000" w:rsidR="00000000" w:rsidRPr="00000000">
              <w:rPr>
                <w:i w:val="1"/>
                <w:iCs w:val="1"/>
                <w:color w:val="1b1c1d"/>
                <w:rtl w:val="0"/>
              </w:rPr>
              <w:t xml:space="preserve">High Quality Publications</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Número total de documentos de una institución, región o país publicados en revistas que se clasifican en el 25% superior de cada categoría temática (Q1) según el indicador establecido en el </w:t>
            </w:r>
            <w:r w:rsidDel="00000000" w:rsidR="00000000" w:rsidRPr="00000000">
              <w:rPr>
                <w:b w:val="1"/>
                <w:bCs w:val="1"/>
                <w:color w:val="1b1c1d"/>
                <w:rtl w:val="0"/>
              </w:rPr>
              <w:t xml:space="preserve">Scimago Journal Rank</w:t>
            </w:r>
            <w:r w:rsidDel="00000000" w:rsidR="00000000" w:rsidRPr="00000000">
              <w:rPr>
                <w:color w:val="1b1c1d"/>
                <w:rtl w:val="0"/>
              </w:rPr>
              <w:t xml:space="preserve"> (Miguel, Chinchilla-Rodriguez, &amp; Moya-Anegón, 2011). Refleja la capacidad institucional para alcanzar un alto nivel esperado de impacto.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Dependiente del tamaño.</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bCs w:val="1"/>
                <w:color w:val="1b1c1d"/>
                <w:rtl w:val="0"/>
              </w:rPr>
              <w:t xml:space="preserve">Excelencia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La producción científica de una institución que se incluye entre el 10% de los documentos más citados en su respectivo campo científico. Es una medida del desempeño de alta calidad de instituciones, regiones o países (Bornmann; Moya-Anegón; Leydesdorff, 2012; Bornmann et al., 2014).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Dependiente del tamaño.</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bCs w:val="1"/>
                <w:color w:val="1b1c1d"/>
                <w:rtl w:val="0"/>
              </w:rPr>
              <w:t xml:space="preserve">Acceso Abierto</w:t>
            </w:r>
            <w:r w:rsidDel="00000000" w:rsidR="00000000" w:rsidRPr="00000000">
              <w:rPr>
                <w:color w:val="1b1c1d"/>
                <w:rtl w:val="0"/>
              </w:rPr>
              <w:t xml:space="preserve"> (</w:t>
            </w:r>
            <w:r w:rsidDel="00000000" w:rsidR="00000000" w:rsidRPr="00000000">
              <w:rPr>
                <w:i w:val="1"/>
                <w:iCs w:val="1"/>
                <w:color w:val="1b1c1d"/>
                <w:rtl w:val="0"/>
              </w:rPr>
              <w:t xml:space="preserve">Open Access</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Porcentaje de documentos publicados en revistas de Acceso Abierto o indexados en la base de datos Unpaywall.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Independiente del tamaño.</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bCs w:val="1"/>
                <w:color w:val="1b1c1d"/>
                <w:rtl w:val="0"/>
              </w:rPr>
              <w:t xml:space="preserve">Revistas No Propias</w:t>
            </w:r>
            <w:r w:rsidDel="00000000" w:rsidR="00000000" w:rsidRPr="00000000">
              <w:rPr>
                <w:color w:val="1b1c1d"/>
                <w:rtl w:val="0"/>
              </w:rPr>
              <w:t xml:space="preserve"> (</w:t>
            </w:r>
            <w:r w:rsidDel="00000000" w:rsidR="00000000" w:rsidRPr="00000000">
              <w:rPr>
                <w:i w:val="1"/>
                <w:iCs w:val="1"/>
                <w:color w:val="1b1c1d"/>
                <w:rtl w:val="0"/>
              </w:rPr>
              <w:t xml:space="preserve">Not Own Journals</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Número de documentos NO publicados en revistas editadas por la propia institución.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Dependiente del tamaño.</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bCs w:val="1"/>
                <w:color w:val="1b1c1d"/>
                <w:rtl w:val="0"/>
              </w:rPr>
              <w:t xml:space="preserve">Revistas Propias</w:t>
            </w:r>
            <w:r w:rsidDel="00000000" w:rsidR="00000000" w:rsidRPr="00000000">
              <w:rPr>
                <w:color w:val="1b1c1d"/>
                <w:rtl w:val="0"/>
              </w:rPr>
              <w:t xml:space="preserve"> (</w:t>
            </w:r>
            <w:r w:rsidDel="00000000" w:rsidR="00000000" w:rsidRPr="00000000">
              <w:rPr>
                <w:i w:val="1"/>
                <w:iCs w:val="1"/>
                <w:color w:val="1b1c1d"/>
                <w:rtl w:val="0"/>
              </w:rPr>
              <w:t xml:space="preserve">Own Journals</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Número de revistas editadas y publicadas por la institución.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Dependiente del tamaño.</w:t>
            </w:r>
          </w:p>
        </w:tc>
      </w:tr>
    </w:tbl>
    <w:p w:rsidR="00000000" w:rsidDel="00000000" w:rsidP="00000000" w:rsidRDefault="00000000" w:rsidRPr="00000000" w14:paraId="0000004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xe4ww1tvoaj" w:id="9"/>
      <w:bookmarkEnd w:id="9"/>
      <w:r w:rsidDel="00000000" w:rsidR="00000000" w:rsidRPr="00000000">
        <w:rPr>
          <w:b w:val="1"/>
          <w:bCs w:val="1"/>
          <w:color w:val="1b1c1d"/>
          <w:sz w:val="26"/>
          <w:szCs w:val="26"/>
          <w:rtl w:val="0"/>
        </w:rPr>
        <w:t xml:space="preserve">Innovación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Los indicadores de innovación establecen la capacidad de las instituciones, regiones o países para generar o contribuir al desarrollo de </w:t>
      </w:r>
      <w:r w:rsidDel="00000000" w:rsidR="00000000" w:rsidRPr="00000000">
        <w:rPr>
          <w:b w:val="1"/>
          <w:bCs w:val="1"/>
          <w:color w:val="1b1c1d"/>
          <w:rtl w:val="0"/>
        </w:rPr>
        <w:t xml:space="preserve">patentes</w:t>
      </w:r>
      <w:r w:rsidDel="00000000" w:rsidR="00000000" w:rsidRPr="00000000">
        <w:rPr>
          <w:color w:val="1b1c1d"/>
          <w:rtl w:val="0"/>
        </w:rPr>
        <w:t xml:space="preserve">. Se considera tanto el número de solicitudes de patentes como el número y porcentaje de citas de documentos publicados por una institución en documentos de solicitud de patente registrados. En este caso, la fuente utilizada para el cálculo de los indicadores de este factor es la base de datos </w:t>
      </w:r>
      <w:r w:rsidDel="00000000" w:rsidR="00000000" w:rsidRPr="00000000">
        <w:rPr>
          <w:b w:val="1"/>
          <w:bCs w:val="1"/>
          <w:color w:val="1b1c1d"/>
          <w:rtl w:val="0"/>
        </w:rPr>
        <w:t xml:space="preserve">PATSTAT</w:t>
      </w:r>
      <w:r w:rsidDel="00000000" w:rsidR="00000000" w:rsidRPr="00000000">
        <w:rPr>
          <w:color w:val="1b1c1d"/>
          <w:rtl w:val="0"/>
        </w:rPr>
        <w:t xml:space="preserve"> [4].</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uswepdplgoc" w:id="10"/>
      <w:bookmarkEnd w:id="10"/>
      <w:r w:rsidDel="00000000" w:rsidR="00000000" w:rsidRPr="00000000">
        <w:rPr>
          <w:b w:val="1"/>
          <w:bCs w:val="1"/>
          <w:color w:val="1b1c1d"/>
          <w:sz w:val="22"/>
          <w:szCs w:val="22"/>
          <w:rtl w:val="0"/>
        </w:rPr>
        <w:t xml:space="preserve">Indicadores de Innovación</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4695"/>
        <w:gridCol w:w="1965"/>
        <w:tblGridChange w:id="0">
          <w:tblGrid>
            <w:gridCol w:w="2130"/>
            <w:gridCol w:w="4695"/>
            <w:gridCol w:w="196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Indicador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Definición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Tipo</w:t>
            </w:r>
          </w:p>
        </w:tc>
      </w:tr>
      <w:tr>
        <w:trPr>
          <w:cantSplit w:val="0"/>
          <w:trHeight w:val="35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bCs w:val="1"/>
                <w:color w:val="1b1c1d"/>
                <w:rtl w:val="0"/>
              </w:rPr>
              <w:t xml:space="preserve">Conocimiento Innovador</w:t>
            </w:r>
            <w:r w:rsidDel="00000000" w:rsidR="00000000" w:rsidRPr="00000000">
              <w:rPr>
                <w:color w:val="1b1c1d"/>
                <w:rtl w:val="0"/>
              </w:rPr>
              <w:t xml:space="preserve"> (</w:t>
            </w:r>
            <w:r w:rsidDel="00000000" w:rsidR="00000000" w:rsidRPr="00000000">
              <w:rPr>
                <w:i w:val="1"/>
                <w:iCs w:val="1"/>
                <w:color w:val="1b1c1d"/>
                <w:rtl w:val="0"/>
              </w:rPr>
              <w:t xml:space="preserve">Innovative Knowledge</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Número de publicaciones de una institución que son citadas en patentes. Este indicador demuestra la capacidad de la institución para generar conocimiento que contribuye a la creación de nuevas tecnologías e invenciones, por lo que no solo es probable que tenga valor comercial, sino que también puede generar un impacto social a corto plazo (Wilsdon, et al., 2015; Moya-Anegón; Chinchilla-Rodríguez, 2015).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Dependiente del tamaño.</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bCs w:val="1"/>
                <w:color w:val="1b1c1d"/>
                <w:rtl w:val="0"/>
              </w:rPr>
              <w:t xml:space="preserve">Patentes</w:t>
            </w:r>
            <w:r w:rsidDel="00000000" w:rsidR="00000000" w:rsidRPr="00000000">
              <w:rPr>
                <w:color w:val="1b1c1d"/>
                <w:rtl w:val="0"/>
              </w:rPr>
              <w:t xml:space="preserve"> (</w:t>
            </w:r>
            <w:r w:rsidDel="00000000" w:rsidR="00000000" w:rsidRPr="00000000">
              <w:rPr>
                <w:i w:val="1"/>
                <w:iCs w:val="1"/>
                <w:color w:val="1b1c1d"/>
                <w:rtl w:val="0"/>
              </w:rPr>
              <w:t xml:space="preserve">Patents</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Número de solicitudes de patentes (familias simples). Este indicador muestra la capacidad de la institución para apropiarse del conocimiento y generar nuevas tecnologías o invenciones.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Dependiente del tamaño.</w:t>
            </w:r>
          </w:p>
        </w:tc>
      </w:tr>
      <w:tr>
        <w:trPr>
          <w:cantSplit w:val="0"/>
          <w:trHeight w:val="523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bCs w:val="1"/>
                <w:color w:val="1b1c1d"/>
                <w:rtl w:val="0"/>
              </w:rPr>
              <w:t xml:space="preserve">Impacto Tecnológico</w:t>
            </w:r>
            <w:r w:rsidDel="00000000" w:rsidR="00000000" w:rsidRPr="00000000">
              <w:rPr>
                <w:color w:val="1b1c1d"/>
                <w:rtl w:val="0"/>
              </w:rPr>
              <w:t xml:space="preserve"> (</w:t>
            </w:r>
            <w:r w:rsidDel="00000000" w:rsidR="00000000" w:rsidRPr="00000000">
              <w:rPr>
                <w:i w:val="1"/>
                <w:iCs w:val="1"/>
                <w:color w:val="1b1c1d"/>
                <w:rtl w:val="0"/>
              </w:rPr>
              <w:t xml:space="preserve">Technological Impact</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Porcentaje de publicaciones de una institución citadas en patentes. Este porcentaje se calcula considerando solo el número total de publicaciones en las áreas citadas en patentes. Estas áreas son: Ciencias Agrícolas y Biológicas; Bioquímica, Genética y Biología Molecular; Ingeniería Química; Química; Informática; Ciencias de la Tierra y Planetarias; Energía; Ingeniería; Ciencias Ambientales; Profesiones de la Salud; Inmunología y Microbiología; Ciencia de los Materiales; Matemáticas; Medicina; Multidisciplinaria; Neurociencia; Enfermería; Farmacología, Toxicología y Productos Farmacéuticos; Física y Astronomía; Ciencias Sociales; Veterinaria.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Independiente del tamaño.</w:t>
            </w:r>
          </w:p>
        </w:tc>
      </w:tr>
    </w:tbl>
    <w:p w:rsidR="00000000" w:rsidDel="00000000" w:rsidP="00000000" w:rsidRDefault="00000000" w:rsidRPr="00000000" w14:paraId="0000005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zd30q8zl42n" w:id="11"/>
      <w:bookmarkEnd w:id="11"/>
      <w:r w:rsidDel="00000000" w:rsidR="00000000" w:rsidRPr="00000000">
        <w:rPr>
          <w:b w:val="1"/>
          <w:bCs w:val="1"/>
          <w:color w:val="1b1c1d"/>
          <w:sz w:val="26"/>
          <w:szCs w:val="26"/>
          <w:rtl w:val="0"/>
        </w:rPr>
        <w:t xml:space="preserve">Impacto Social</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Los indicadores relacionados con el impacto social muestran los esquemas de publicación web que contribuyen a aumentar la visibilidad de la producción científica y la reputación institucional. Desde 2019, el factor Impacto Social también cuenta con un indicador relacionado con métricas alternativas. Las fuentes utilizadas para el cálculo de los indicadores de este factor son </w:t>
      </w:r>
      <w:r w:rsidDel="00000000" w:rsidR="00000000" w:rsidRPr="00000000">
        <w:rPr>
          <w:b w:val="1"/>
          <w:bCs w:val="1"/>
          <w:color w:val="1b1c1d"/>
          <w:rtl w:val="0"/>
        </w:rPr>
        <w:t xml:space="preserve">PlumX Metrics</w:t>
      </w:r>
      <w:r w:rsidDel="00000000" w:rsidR="00000000" w:rsidRPr="00000000">
        <w:rPr>
          <w:color w:val="1b1c1d"/>
          <w:rtl w:val="0"/>
        </w:rPr>
        <w:t xml:space="preserve"> [5] y </w:t>
      </w:r>
      <w:r w:rsidDel="00000000" w:rsidR="00000000" w:rsidRPr="00000000">
        <w:rPr>
          <w:b w:val="1"/>
          <w:bCs w:val="1"/>
          <w:color w:val="1b1c1d"/>
          <w:rtl w:val="0"/>
        </w:rPr>
        <w:t xml:space="preserve">Mendeley</w:t>
      </w:r>
      <w:r w:rsidDel="00000000" w:rsidR="00000000" w:rsidRPr="00000000">
        <w:rPr>
          <w:color w:val="1b1c1d"/>
          <w:rtl w:val="0"/>
        </w:rPr>
        <w:t xml:space="preserve"> [6]. Excepcionalmente y teniendo en cuenta su naturaleza, se ha considerado el último año como la ventana temporal. Es un indicador dependiente del tamaño.</w:t>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65inksnd3jf" w:id="12"/>
      <w:bookmarkEnd w:id="12"/>
      <w:r w:rsidDel="00000000" w:rsidR="00000000" w:rsidRPr="00000000">
        <w:rPr>
          <w:b w:val="1"/>
          <w:bCs w:val="1"/>
          <w:color w:val="1b1c1d"/>
          <w:sz w:val="22"/>
          <w:szCs w:val="22"/>
          <w:rtl w:val="0"/>
        </w:rPr>
        <w:t xml:space="preserve">Indicadores de Impacto Social</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4335"/>
        <w:gridCol w:w="1905"/>
        <w:tblGridChange w:id="0">
          <w:tblGrid>
            <w:gridCol w:w="2550"/>
            <w:gridCol w:w="4335"/>
            <w:gridCol w:w="190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Indicador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Definición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Tipo</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bCs w:val="1"/>
                <w:color w:val="1b1c1d"/>
                <w:rtl w:val="0"/>
              </w:rPr>
              <w:t xml:space="preserve">PlumX Metrics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Número de documentos que tienen al menos una mención en PlumX Metrics considerando menciones en Twitter, Facebook, blogs (Reddit, Slideshare, Vimeo o YouTube).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Dependiente del tamaño.</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bCs w:val="1"/>
                <w:color w:val="1b1c1d"/>
                <w:rtl w:val="0"/>
              </w:rPr>
              <w:t xml:space="preserve">Mendeley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Número de documentos que tienen al menos un lector (usuario único) en Mendeley.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Dependiente del tamaño.</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b w:val="1"/>
                <w:bCs w:val="1"/>
                <w:color w:val="1b1c1d"/>
                <w:rtl w:val="0"/>
              </w:rPr>
              <w:t xml:space="preserve">Impacto en políticas públicas - Overton</w:t>
            </w:r>
            <w:r w:rsidDel="00000000" w:rsidR="00000000" w:rsidRPr="00000000">
              <w:rPr>
                <w:color w:val="1b1c1d"/>
                <w:rtl w:val="0"/>
              </w:rPr>
              <w:t xml:space="preserve"> (</w:t>
            </w:r>
            <w:r w:rsidDel="00000000" w:rsidR="00000000" w:rsidRPr="00000000">
              <w:rPr>
                <w:i w:val="1"/>
                <w:iCs w:val="1"/>
                <w:color w:val="1b1c1d"/>
                <w:rtl w:val="0"/>
              </w:rPr>
              <w:t xml:space="preserve">Impact in public policy - Overton</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Número de documentos de la institución que han sido citados en documentos de políticas según la base de datos Overton. Agregado en la edición 2024.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Dependiente del tamaño.</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bCs w:val="1"/>
                <w:color w:val="1b1c1d"/>
                <w:rtl w:val="0"/>
              </w:rPr>
              <w:t xml:space="preserve">Reserva de Talento Científico Femenino</w:t>
            </w:r>
            <w:r w:rsidDel="00000000" w:rsidR="00000000" w:rsidRPr="00000000">
              <w:rPr>
                <w:color w:val="1b1c1d"/>
                <w:rtl w:val="0"/>
              </w:rPr>
              <w:t xml:space="preserve"> (</w:t>
            </w:r>
            <w:r w:rsidDel="00000000" w:rsidR="00000000" w:rsidRPr="00000000">
              <w:rPr>
                <w:i w:val="1"/>
                <w:iCs w:val="1"/>
                <w:color w:val="1b1c1d"/>
                <w:rtl w:val="0"/>
              </w:rPr>
              <w:t xml:space="preserve">Female Scientific Talent Pool</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Número de autoras diferentes de artículos científicos de una institución. Agregado en la edición 2024.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Dependiente del tamaño.</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bCs w:val="1"/>
                <w:color w:val="1b1c1d"/>
                <w:rtl w:val="0"/>
              </w:rPr>
              <w:t xml:space="preserve">Objetivos de Desarrollo Sostenible</w:t>
            </w:r>
            <w:r w:rsidDel="00000000" w:rsidR="00000000" w:rsidRPr="00000000">
              <w:rPr>
                <w:color w:val="1b1c1d"/>
                <w:rtl w:val="0"/>
              </w:rPr>
              <w:t xml:space="preserve"> (</w:t>
            </w:r>
            <w:r w:rsidDel="00000000" w:rsidR="00000000" w:rsidRPr="00000000">
              <w:rPr>
                <w:i w:val="1"/>
                <w:iCs w:val="1"/>
                <w:color w:val="1b1c1d"/>
                <w:rtl w:val="0"/>
              </w:rPr>
              <w:t xml:space="preserve">Sustainable Development Goals</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Número de documentos relacionados con los Objetivos de Desarrollo Sostenible definidos por las Naciones Unidas. Datos disponibles a partir de 2018 (incluidos a partir del período 2018-2022). Agregado en la edición 2024.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Dependiente del tamaño.</w:t>
            </w:r>
          </w:p>
        </w:tc>
      </w:tr>
    </w:tbl>
    <w:p w:rsidR="00000000" w:rsidDel="00000000" w:rsidP="00000000" w:rsidRDefault="00000000" w:rsidRPr="00000000" w14:paraId="0000007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vnzcm5w6kz8j" w:id="13"/>
      <w:bookmarkEnd w:id="13"/>
      <w:r w:rsidDel="00000000" w:rsidR="00000000" w:rsidRPr="00000000">
        <w:rPr>
          <w:b w:val="1"/>
          <w:bCs w:val="1"/>
          <w:color w:val="1b1c1d"/>
          <w:sz w:val="34"/>
          <w:szCs w:val="34"/>
          <w:rtl w:val="0"/>
        </w:rPr>
        <w:t xml:space="preserve">Bibliografía</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Bordons, María; Fernández, María-Teresa; Gómez-Caridad, Isabel (2002). “Advantages and limitations in the use of impact factor measures for the assessment of research performance”. </w:t>
      </w:r>
      <w:r w:rsidDel="00000000" w:rsidR="00000000" w:rsidRPr="00000000">
        <w:rPr>
          <w:i w:val="1"/>
          <w:iCs w:val="1"/>
          <w:color w:val="1b1c1d"/>
          <w:rtl w:val="0"/>
        </w:rPr>
        <w:t xml:space="preserve">Scientometrics</w:t>
      </w:r>
      <w:r w:rsidDel="00000000" w:rsidR="00000000" w:rsidRPr="00000000">
        <w:rPr>
          <w:color w:val="1b1c1d"/>
          <w:rtl w:val="0"/>
        </w:rPr>
        <w:t xml:space="preserve">, v. 53, n. 2, pp. 195-206.</w:t>
      </w:r>
      <w:hyperlink r:id="rId9">
        <w:r w:rsidDel="00000000" w:rsidR="00000000" w:rsidRPr="00000000">
          <w:rPr>
            <w:color w:val="1b1c1d"/>
            <w:rtl w:val="0"/>
          </w:rPr>
          <w:t xml:space="preserve"> </w:t>
        </w:r>
      </w:hyperlink>
      <w:hyperlink r:id="rId10">
        <w:r w:rsidDel="00000000" w:rsidR="00000000" w:rsidRPr="00000000">
          <w:rPr>
            <w:color w:val="0b57d0"/>
            <w:u w:val="single"/>
            <w:rtl w:val="0"/>
          </w:rPr>
          <w:t xml:space="preserve">https://doi.org/10.1023/A:1014800407876</w:t>
        </w:r>
      </w:hyperlink>
      <w:r w:rsidDel="00000000" w:rsidR="00000000" w:rsidRPr="00000000">
        <w:rPr>
          <w:rtl w:val="0"/>
        </w:rPr>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Bornmann, Lutz; Gralka Sabine; Moya Anegón, Félix; Wohlrabe, Klaus (2020). “Efficiency of Universities and Research-Focused Institutions Worldwide: An Empirical DEA Investigation Based on Institutional Publication Numbers and Estimated Academic Staff Numbers”. </w:t>
      </w:r>
      <w:r w:rsidDel="00000000" w:rsidR="00000000" w:rsidRPr="00000000">
        <w:rPr>
          <w:i w:val="1"/>
          <w:iCs w:val="1"/>
          <w:color w:val="1b1c1d"/>
          <w:rtl w:val="0"/>
        </w:rPr>
        <w:t xml:space="preserve">CESifo Working Paper No. 8157 2020</w:t>
      </w:r>
      <w:r w:rsidDel="00000000" w:rsidR="00000000" w:rsidRPr="00000000">
        <w:rPr>
          <w:color w:val="1b1c1d"/>
          <w:rtl w:val="0"/>
        </w:rPr>
        <w:t xml:space="preserve">.</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Bornmann, Lutz (2017). “Measuring impact in research evaluations: a thorough discussion of methods for, effects of and problems with impact measurements”. </w:t>
      </w:r>
      <w:r w:rsidDel="00000000" w:rsidR="00000000" w:rsidRPr="00000000">
        <w:rPr>
          <w:i w:val="1"/>
          <w:iCs w:val="1"/>
          <w:color w:val="1b1c1d"/>
          <w:rtl w:val="0"/>
        </w:rPr>
        <w:t xml:space="preserve">Higher education</w:t>
      </w:r>
      <w:r w:rsidDel="00000000" w:rsidR="00000000" w:rsidRPr="00000000">
        <w:rPr>
          <w:color w:val="1b1c1d"/>
          <w:rtl w:val="0"/>
        </w:rPr>
        <w:t xml:space="preserve">, v. 73, n. 5, pp. 775-787.</w:t>
      </w:r>
      <w:hyperlink r:id="rId11">
        <w:r w:rsidDel="00000000" w:rsidR="00000000" w:rsidRPr="00000000">
          <w:rPr>
            <w:color w:val="1b1c1d"/>
            <w:rtl w:val="0"/>
          </w:rPr>
          <w:t xml:space="preserve"> </w:t>
        </w:r>
      </w:hyperlink>
      <w:hyperlink r:id="rId12">
        <w:r w:rsidDel="00000000" w:rsidR="00000000" w:rsidRPr="00000000">
          <w:rPr>
            <w:color w:val="0b57d0"/>
            <w:u w:val="single"/>
            <w:rtl w:val="0"/>
          </w:rPr>
          <w:t xml:space="preserve">https://doi.org/10.1007/s10734-016-9995-x</w:t>
        </w:r>
      </w:hyperlink>
      <w:r w:rsidDel="00000000" w:rsidR="00000000" w:rsidRPr="00000000">
        <w:rPr>
          <w:rtl w:val="0"/>
        </w:rPr>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Bornmann, Lutz; Stefaner, Moritz; De-Moya-Anegón, Félix; Mutz, Rüdiger (2014). Ranking and mapping of universities and research-focused institutions worldwide based on highly-cited papers. </w:t>
      </w:r>
      <w:r w:rsidDel="00000000" w:rsidR="00000000" w:rsidRPr="00000000">
        <w:rPr>
          <w:i w:val="1"/>
          <w:iCs w:val="1"/>
          <w:color w:val="1b1c1d"/>
          <w:rtl w:val="0"/>
        </w:rPr>
        <w:t xml:space="preserve">Online information review</w:t>
      </w:r>
      <w:r w:rsidDel="00000000" w:rsidR="00000000" w:rsidRPr="00000000">
        <w:rPr>
          <w:color w:val="1b1c1d"/>
          <w:rtl w:val="0"/>
        </w:rPr>
        <w:t xml:space="preserve">, v. 38, n. 1, pp. 43-58.</w:t>
      </w:r>
      <w:hyperlink r:id="rId13">
        <w:r w:rsidDel="00000000" w:rsidR="00000000" w:rsidRPr="00000000">
          <w:rPr>
            <w:color w:val="1b1c1d"/>
            <w:rtl w:val="0"/>
          </w:rPr>
          <w:t xml:space="preserve"> </w:t>
        </w:r>
      </w:hyperlink>
      <w:hyperlink r:id="rId14">
        <w:r w:rsidDel="00000000" w:rsidR="00000000" w:rsidRPr="00000000">
          <w:rPr>
            <w:color w:val="0b57d0"/>
            <w:u w:val="single"/>
            <w:rtl w:val="0"/>
          </w:rPr>
          <w:t xml:space="preserve">https://doi.org/10.1108/OIR-12-2012-0214</w:t>
        </w:r>
      </w:hyperlink>
      <w:r w:rsidDel="00000000" w:rsidR="00000000" w:rsidRPr="00000000">
        <w:rPr>
          <w:rtl w:val="0"/>
        </w:rPr>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Bornmann, Lutz; De-Moya-Anegón, Félix; Leydesdorff, Loet (2012). “The new excellence indicator in the World Report of the SCImago Institutions Rankings 2011”. </w:t>
      </w:r>
      <w:r w:rsidDel="00000000" w:rsidR="00000000" w:rsidRPr="00000000">
        <w:rPr>
          <w:i w:val="1"/>
          <w:iCs w:val="1"/>
          <w:color w:val="1b1c1d"/>
          <w:rtl w:val="0"/>
        </w:rPr>
        <w:t xml:space="preserve">Journal of informetrics</w:t>
      </w:r>
      <w:r w:rsidDel="00000000" w:rsidR="00000000" w:rsidRPr="00000000">
        <w:rPr>
          <w:color w:val="1b1c1d"/>
          <w:rtl w:val="0"/>
        </w:rPr>
        <w:t xml:space="preserve">, v. 6, n. 2, pp.333-335.</w:t>
      </w:r>
      <w:hyperlink r:id="rId15">
        <w:r w:rsidDel="00000000" w:rsidR="00000000" w:rsidRPr="00000000">
          <w:rPr>
            <w:color w:val="1b1c1d"/>
            <w:rtl w:val="0"/>
          </w:rPr>
          <w:t xml:space="preserve"> </w:t>
        </w:r>
      </w:hyperlink>
      <w:hyperlink r:id="rId16">
        <w:r w:rsidDel="00000000" w:rsidR="00000000" w:rsidRPr="00000000">
          <w:rPr>
            <w:color w:val="0b57d0"/>
            <w:u w:val="single"/>
            <w:rtl w:val="0"/>
          </w:rPr>
          <w:t xml:space="preserve">https://doi.org/10.1016/j.joi.2011.11.006</w:t>
        </w:r>
      </w:hyperlink>
      <w:r w:rsidDel="00000000" w:rsidR="00000000" w:rsidRPr="00000000">
        <w:rPr>
          <w:rtl w:val="0"/>
        </w:rPr>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Bornmann, L.utz, Mutz, Rudiger., Neuhaus, Christoph., &amp; Daniel, Hans. (2008). Citation counts for research evaluation: standards of good practice for analyzing bibliometric data and presenting and interpreting results. </w:t>
      </w:r>
      <w:r w:rsidDel="00000000" w:rsidR="00000000" w:rsidRPr="00000000">
        <w:rPr>
          <w:i w:val="1"/>
          <w:iCs w:val="1"/>
          <w:color w:val="1b1c1d"/>
          <w:rtl w:val="0"/>
        </w:rPr>
        <w:t xml:space="preserve">Ethics Sci Environ Polit, 8</w:t>
      </w:r>
      <w:r w:rsidDel="00000000" w:rsidR="00000000" w:rsidRPr="00000000">
        <w:rPr>
          <w:color w:val="1b1c1d"/>
          <w:rtl w:val="0"/>
        </w:rPr>
        <w:t xml:space="preserve">, 93-102. doi:</w:t>
      </w:r>
      <w:hyperlink r:id="rId17">
        <w:r w:rsidDel="00000000" w:rsidR="00000000" w:rsidRPr="00000000">
          <w:rPr>
            <w:color w:val="0b57d0"/>
            <w:u w:val="single"/>
            <w:rtl w:val="0"/>
          </w:rPr>
          <w:t xml:space="preserve">https://doi.org/10.3354/esep00084</w:t>
        </w:r>
      </w:hyperlink>
      <w:r w:rsidDel="00000000" w:rsidR="00000000" w:rsidRPr="00000000">
        <w:rPr>
          <w:rtl w:val="0"/>
        </w:rPr>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Chinchilla-Rodríguez, Zaida; Benavent-Pérez, María; Moya-Anegón, Félix; Miguel, Sandra (2012). “International collaboration in medical research in Latin America and the Caribbean (2003-2007)”. </w:t>
      </w:r>
      <w:r w:rsidDel="00000000" w:rsidR="00000000" w:rsidRPr="00000000">
        <w:rPr>
          <w:i w:val="1"/>
          <w:iCs w:val="1"/>
          <w:color w:val="1b1c1d"/>
          <w:rtl w:val="0"/>
        </w:rPr>
        <w:t xml:space="preserve">Journal of the American Society for Information Science and Technology</w:t>
      </w:r>
      <w:r w:rsidDel="00000000" w:rsidR="00000000" w:rsidRPr="00000000">
        <w:rPr>
          <w:color w:val="1b1c1d"/>
          <w:rtl w:val="0"/>
        </w:rPr>
        <w:t xml:space="preserve">, v. 63, n. 11, pp. 2223-2238.</w:t>
      </w:r>
      <w:hyperlink r:id="rId18">
        <w:r w:rsidDel="00000000" w:rsidR="00000000" w:rsidRPr="00000000">
          <w:rPr>
            <w:color w:val="1b1c1d"/>
            <w:rtl w:val="0"/>
          </w:rPr>
          <w:t xml:space="preserve"> </w:t>
        </w:r>
      </w:hyperlink>
      <w:hyperlink r:id="rId19">
        <w:r w:rsidDel="00000000" w:rsidR="00000000" w:rsidRPr="00000000">
          <w:rPr>
            <w:color w:val="0b57d0"/>
            <w:u w:val="single"/>
            <w:rtl w:val="0"/>
          </w:rPr>
          <w:t xml:space="preserve">https://doi.org/10.1002/asi.22669</w:t>
        </w:r>
      </w:hyperlink>
      <w:r w:rsidDel="00000000" w:rsidR="00000000" w:rsidRPr="00000000">
        <w:rPr>
          <w:rtl w:val="0"/>
        </w:rPr>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Codina-Canet, María-Adelina; Olmeda-Gómez, Carlos; Perianes-Rodríguez, Antonio (2013). “Análisis de la producción científica y de la especialización temática de la Universidad Politécnica de Valencia. Scopus (2003-2010)”. </w:t>
      </w:r>
      <w:r w:rsidDel="00000000" w:rsidR="00000000" w:rsidRPr="00000000">
        <w:rPr>
          <w:i w:val="1"/>
          <w:iCs w:val="1"/>
          <w:color w:val="1b1c1d"/>
          <w:rtl w:val="0"/>
        </w:rPr>
        <w:t xml:space="preserve">Revista española de documentación científica</w:t>
      </w:r>
      <w:r w:rsidDel="00000000" w:rsidR="00000000" w:rsidRPr="00000000">
        <w:rPr>
          <w:color w:val="1b1c1d"/>
          <w:rtl w:val="0"/>
        </w:rPr>
        <w:t xml:space="preserve">, v. 36, n. 3, e019.</w:t>
      </w:r>
      <w:hyperlink r:id="rId20">
        <w:r w:rsidDel="00000000" w:rsidR="00000000" w:rsidRPr="00000000">
          <w:rPr>
            <w:color w:val="1b1c1d"/>
            <w:rtl w:val="0"/>
          </w:rPr>
          <w:t xml:space="preserve"> </w:t>
        </w:r>
      </w:hyperlink>
      <w:hyperlink r:id="rId21">
        <w:r w:rsidDel="00000000" w:rsidR="00000000" w:rsidRPr="00000000">
          <w:rPr>
            <w:color w:val="0b57d0"/>
            <w:u w:val="single"/>
            <w:rtl w:val="0"/>
          </w:rPr>
          <w:t xml:space="preserve">https://doi.org/10.3989/redc.2013.3.942</w:t>
        </w:r>
      </w:hyperlink>
      <w:r w:rsidDel="00000000" w:rsidR="00000000" w:rsidRPr="00000000">
        <w:rPr>
          <w:rtl w:val="0"/>
        </w:rPr>
      </w:r>
    </w:p>
    <w:p w:rsidR="00000000" w:rsidDel="00000000" w:rsidP="00000000" w:rsidRDefault="00000000" w:rsidRPr="00000000" w14:paraId="0000007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González-Pereira, Borja; Guerrero-Bote, Vicente P.; Moya-Anegón, Félix (2010). “A new approach to the metric of journals’ scientific prestige: The SJR indicator”. </w:t>
      </w:r>
      <w:r w:rsidDel="00000000" w:rsidR="00000000" w:rsidRPr="00000000">
        <w:rPr>
          <w:i w:val="1"/>
          <w:iCs w:val="1"/>
          <w:color w:val="1b1c1d"/>
          <w:rtl w:val="0"/>
        </w:rPr>
        <w:t xml:space="preserve">Journal of informetrics</w:t>
      </w:r>
      <w:r w:rsidDel="00000000" w:rsidR="00000000" w:rsidRPr="00000000">
        <w:rPr>
          <w:color w:val="1b1c1d"/>
          <w:rtl w:val="0"/>
        </w:rPr>
        <w:t xml:space="preserve">, v. 4, n. 3, pp. 379-391.</w:t>
      </w:r>
      <w:hyperlink r:id="rId22">
        <w:r w:rsidDel="00000000" w:rsidR="00000000" w:rsidRPr="00000000">
          <w:rPr>
            <w:color w:val="1b1c1d"/>
            <w:rtl w:val="0"/>
          </w:rPr>
          <w:t xml:space="preserve"> </w:t>
        </w:r>
      </w:hyperlink>
      <w:hyperlink r:id="rId23">
        <w:r w:rsidDel="00000000" w:rsidR="00000000" w:rsidRPr="00000000">
          <w:rPr>
            <w:color w:val="0b57d0"/>
            <w:u w:val="single"/>
            <w:rtl w:val="0"/>
          </w:rPr>
          <w:t xml:space="preserve">https://doi.org/10.1016/j.joi.2010.03.002</w:t>
        </w:r>
      </w:hyperlink>
      <w:r w:rsidDel="00000000" w:rsidR="00000000" w:rsidRPr="00000000">
        <w:rPr>
          <w:rtl w:val="0"/>
        </w:rPr>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Gorraiz, J., Ulrych, U., Glänzel, W., Arroyo-Machado, W., Torres-Salinas, D., (2021). Measuring the excellence contribution at the journal level: an alternative to Garfield’s impact factor. </w:t>
      </w:r>
      <w:r w:rsidDel="00000000" w:rsidR="00000000" w:rsidRPr="00000000">
        <w:rPr>
          <w:i w:val="1"/>
          <w:iCs w:val="1"/>
          <w:color w:val="1b1c1d"/>
          <w:rtl w:val="0"/>
        </w:rPr>
        <w:t xml:space="preserve">Scientometrics. 127</w:t>
      </w:r>
      <w:r w:rsidDel="00000000" w:rsidR="00000000" w:rsidRPr="00000000">
        <w:rPr>
          <w:color w:val="1b1c1d"/>
          <w:rtl w:val="0"/>
        </w:rPr>
        <w:t xml:space="preserve"> (12)</w:t>
      </w:r>
      <w:hyperlink r:id="rId24">
        <w:r w:rsidDel="00000000" w:rsidR="00000000" w:rsidRPr="00000000">
          <w:rPr>
            <w:color w:val="1b1c1d"/>
            <w:rtl w:val="0"/>
          </w:rPr>
          <w:t xml:space="preserve"> </w:t>
        </w:r>
      </w:hyperlink>
      <w:hyperlink r:id="rId25">
        <w:r w:rsidDel="00000000" w:rsidR="00000000" w:rsidRPr="00000000">
          <w:rPr>
            <w:color w:val="0b57d0"/>
            <w:u w:val="single"/>
            <w:rtl w:val="0"/>
          </w:rPr>
          <w:t xml:space="preserve">https://doi.org/10.1007/s11192-022-04295-9</w:t>
        </w:r>
      </w:hyperlink>
      <w:r w:rsidDel="00000000" w:rsidR="00000000" w:rsidRPr="00000000">
        <w:rPr>
          <w:rtl w:val="0"/>
        </w:rPr>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Guerrero-Bote, V.P., Moed, H.F., &amp; Moya-Anegon, F. (2021). New indicators of the technological impact of scientific production. </w:t>
      </w:r>
      <w:r w:rsidDel="00000000" w:rsidR="00000000" w:rsidRPr="00000000">
        <w:rPr>
          <w:i w:val="1"/>
          <w:iCs w:val="1"/>
          <w:color w:val="1b1c1d"/>
          <w:rtl w:val="0"/>
        </w:rPr>
        <w:t xml:space="preserve">Journal of Data and Information Science, 6</w:t>
      </w:r>
      <w:r w:rsidDel="00000000" w:rsidR="00000000" w:rsidRPr="00000000">
        <w:rPr>
          <w:color w:val="1b1c1d"/>
          <w:rtl w:val="0"/>
        </w:rPr>
        <w:t xml:space="preserve">(4).</w:t>
      </w:r>
      <w:hyperlink r:id="rId26">
        <w:r w:rsidDel="00000000" w:rsidR="00000000" w:rsidRPr="00000000">
          <w:rPr>
            <w:color w:val="1b1c1d"/>
            <w:rtl w:val="0"/>
          </w:rPr>
          <w:t xml:space="preserve"> </w:t>
        </w:r>
      </w:hyperlink>
      <w:hyperlink r:id="rId27">
        <w:r w:rsidDel="00000000" w:rsidR="00000000" w:rsidRPr="00000000">
          <w:rPr>
            <w:color w:val="0b57d0"/>
            <w:u w:val="single"/>
            <w:rtl w:val="0"/>
          </w:rPr>
          <w:t xml:space="preserve">https://doi.org/10.2478/jdis-2021-00</w:t>
        </w:r>
      </w:hyperlink>
      <w:r w:rsidDel="00000000" w:rsidR="00000000" w:rsidRPr="00000000">
        <w:rPr>
          <w:rtl w:val="0"/>
        </w:rPr>
      </w:r>
    </w:p>
    <w:p w:rsidR="00000000" w:rsidDel="00000000" w:rsidP="00000000" w:rsidRDefault="00000000" w:rsidRPr="00000000" w14:paraId="0000007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Guerrero-Bote, Vicente P.; Sánchez-Jiménez, Rodrigo; Moya-Anegón, Félix (2019). “The citation from patents to scientific output revisited: A new approach to the matching Patstat / Scopus”. </w:t>
      </w:r>
      <w:r w:rsidDel="00000000" w:rsidR="00000000" w:rsidRPr="00000000">
        <w:rPr>
          <w:i w:val="1"/>
          <w:iCs w:val="1"/>
          <w:color w:val="1b1c1d"/>
          <w:rtl w:val="0"/>
        </w:rPr>
        <w:t xml:space="preserve">El profesional de la información</w:t>
      </w:r>
      <w:r w:rsidDel="00000000" w:rsidR="00000000" w:rsidRPr="00000000">
        <w:rPr>
          <w:color w:val="1b1c1d"/>
          <w:rtl w:val="0"/>
        </w:rPr>
        <w:t xml:space="preserve">, v. 28, n. 4, e280401.</w:t>
      </w:r>
      <w:hyperlink r:id="rId28">
        <w:r w:rsidDel="00000000" w:rsidR="00000000" w:rsidRPr="00000000">
          <w:rPr>
            <w:color w:val="1b1c1d"/>
            <w:rtl w:val="0"/>
          </w:rPr>
          <w:t xml:space="preserve"> </w:t>
        </w:r>
      </w:hyperlink>
      <w:hyperlink r:id="rId29">
        <w:r w:rsidDel="00000000" w:rsidR="00000000" w:rsidRPr="00000000">
          <w:rPr>
            <w:color w:val="0b57d0"/>
            <w:u w:val="single"/>
            <w:rtl w:val="0"/>
          </w:rPr>
          <w:t xml:space="preserve">https://doi.org/10.3145/epi.2019.jul.01</w:t>
        </w:r>
      </w:hyperlink>
      <w:r w:rsidDel="00000000" w:rsidR="00000000" w:rsidRPr="00000000">
        <w:rPr>
          <w:rtl w:val="0"/>
        </w:rPr>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Guerrero-Bote, Vicente P.; Olmeda-Gómez, Carlos; Moya-Anegón, Félix (2013). “Quantifying the benefits of international scientific collaboration”. </w:t>
      </w:r>
      <w:r w:rsidDel="00000000" w:rsidR="00000000" w:rsidRPr="00000000">
        <w:rPr>
          <w:i w:val="1"/>
          <w:iCs w:val="1"/>
          <w:color w:val="1b1c1d"/>
          <w:rtl w:val="0"/>
        </w:rPr>
        <w:t xml:space="preserve">Journal of the American Society for Information Science and Technology</w:t>
      </w:r>
      <w:r w:rsidDel="00000000" w:rsidR="00000000" w:rsidRPr="00000000">
        <w:rPr>
          <w:color w:val="1b1c1d"/>
          <w:rtl w:val="0"/>
        </w:rPr>
        <w:t xml:space="preserve">, v. 64, n. 2, pp. 392-404.</w:t>
      </w:r>
      <w:hyperlink r:id="rId30">
        <w:r w:rsidDel="00000000" w:rsidR="00000000" w:rsidRPr="00000000">
          <w:rPr>
            <w:color w:val="1b1c1d"/>
            <w:rtl w:val="0"/>
          </w:rPr>
          <w:t xml:space="preserve"> </w:t>
        </w:r>
      </w:hyperlink>
      <w:hyperlink r:id="rId31">
        <w:r w:rsidDel="00000000" w:rsidR="00000000" w:rsidRPr="00000000">
          <w:rPr>
            <w:color w:val="0b57d0"/>
            <w:u w:val="single"/>
            <w:rtl w:val="0"/>
          </w:rPr>
          <w:t xml:space="preserve">https://doi.org/10.1002/asi.22754</w:t>
        </w:r>
      </w:hyperlink>
      <w:r w:rsidDel="00000000" w:rsidR="00000000" w:rsidRPr="00000000">
        <w:rPr>
          <w:rtl w:val="0"/>
        </w:rPr>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Guerrero-Bote, Vicente P.; Moya-Anegón, Félix (2012). “A further step forward in measuring journals’ scientific prestige: The SJR2 indicator”. </w:t>
      </w:r>
      <w:r w:rsidDel="00000000" w:rsidR="00000000" w:rsidRPr="00000000">
        <w:rPr>
          <w:i w:val="1"/>
          <w:iCs w:val="1"/>
          <w:color w:val="1b1c1d"/>
          <w:rtl w:val="0"/>
        </w:rPr>
        <w:t xml:space="preserve">Journal of informetrics</w:t>
      </w:r>
      <w:r w:rsidDel="00000000" w:rsidR="00000000" w:rsidRPr="00000000">
        <w:rPr>
          <w:color w:val="1b1c1d"/>
          <w:rtl w:val="0"/>
        </w:rPr>
        <w:t xml:space="preserve">, v. 6, n. 4, pp. 674-688.</w:t>
      </w:r>
      <w:hyperlink r:id="rId32">
        <w:r w:rsidDel="00000000" w:rsidR="00000000" w:rsidRPr="00000000">
          <w:rPr>
            <w:color w:val="1b1c1d"/>
            <w:rtl w:val="0"/>
          </w:rPr>
          <w:t xml:space="preserve"> </w:t>
        </w:r>
      </w:hyperlink>
      <w:hyperlink r:id="rId33">
        <w:r w:rsidDel="00000000" w:rsidR="00000000" w:rsidRPr="00000000">
          <w:rPr>
            <w:color w:val="0b57d0"/>
            <w:u w:val="single"/>
            <w:rtl w:val="0"/>
          </w:rPr>
          <w:t xml:space="preserve">https://doi.org/10.1016/j.joi.2012.07.001</w:t>
        </w:r>
      </w:hyperlink>
      <w:r w:rsidDel="00000000" w:rsidR="00000000" w:rsidRPr="00000000">
        <w:rPr>
          <w:rtl w:val="0"/>
        </w:rPr>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Lancho-Barrantes, Bárbara S.; Guerrero-Bote, Vicente P.; Moya-Anegón, Félix (2013). “Citation increments between collaborating countries”. </w:t>
      </w:r>
      <w:r w:rsidDel="00000000" w:rsidR="00000000" w:rsidRPr="00000000">
        <w:rPr>
          <w:i w:val="1"/>
          <w:iCs w:val="1"/>
          <w:color w:val="1b1c1d"/>
          <w:rtl w:val="0"/>
        </w:rPr>
        <w:t xml:space="preserve">Scientometrics</w:t>
      </w:r>
      <w:r w:rsidDel="00000000" w:rsidR="00000000" w:rsidRPr="00000000">
        <w:rPr>
          <w:color w:val="1b1c1d"/>
          <w:rtl w:val="0"/>
        </w:rPr>
        <w:t xml:space="preserve">, v. 94, n. 3, pp. 817-831.</w:t>
      </w:r>
      <w:hyperlink r:id="rId34">
        <w:r w:rsidDel="00000000" w:rsidR="00000000" w:rsidRPr="00000000">
          <w:rPr>
            <w:color w:val="1b1c1d"/>
            <w:rtl w:val="0"/>
          </w:rPr>
          <w:t xml:space="preserve"> </w:t>
        </w:r>
      </w:hyperlink>
      <w:hyperlink r:id="rId35">
        <w:r w:rsidDel="00000000" w:rsidR="00000000" w:rsidRPr="00000000">
          <w:rPr>
            <w:color w:val="0b57d0"/>
            <w:u w:val="single"/>
            <w:rtl w:val="0"/>
          </w:rPr>
          <w:t xml:space="preserve">https://doi.org/10.1007/s11192-012-0797-3</w:t>
        </w:r>
      </w:hyperlink>
      <w:r w:rsidDel="00000000" w:rsidR="00000000" w:rsidRPr="00000000">
        <w:rPr>
          <w:rtl w:val="0"/>
        </w:rPr>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Miguel, Sandra; Chinchilla-Rodríguez, Zaida; Moya-Anegón, Félix (2011). “Open Access and Scopus: A new approach to scientific visibility from the standpoint of access”. </w:t>
      </w:r>
      <w:r w:rsidDel="00000000" w:rsidR="00000000" w:rsidRPr="00000000">
        <w:rPr>
          <w:i w:val="1"/>
          <w:iCs w:val="1"/>
          <w:color w:val="1b1c1d"/>
          <w:rtl w:val="0"/>
        </w:rPr>
        <w:t xml:space="preserve">Journal of the American Society for Information Science and Technology</w:t>
      </w:r>
      <w:r w:rsidDel="00000000" w:rsidR="00000000" w:rsidRPr="00000000">
        <w:rPr>
          <w:color w:val="1b1c1d"/>
          <w:rtl w:val="0"/>
        </w:rPr>
        <w:t xml:space="preserve">, v. 62, n. 6, pp. 1130-1145.</w:t>
      </w:r>
      <w:hyperlink r:id="rId36">
        <w:r w:rsidDel="00000000" w:rsidR="00000000" w:rsidRPr="00000000">
          <w:rPr>
            <w:color w:val="1b1c1d"/>
            <w:rtl w:val="0"/>
          </w:rPr>
          <w:t xml:space="preserve"> </w:t>
        </w:r>
      </w:hyperlink>
      <w:hyperlink r:id="rId37">
        <w:r w:rsidDel="00000000" w:rsidR="00000000" w:rsidRPr="00000000">
          <w:rPr>
            <w:color w:val="0b57d0"/>
            <w:u w:val="single"/>
            <w:rtl w:val="0"/>
          </w:rPr>
          <w:t xml:space="preserve">https://doi.org/10.1002/asi.21532</w:t>
        </w:r>
      </w:hyperlink>
      <w:r w:rsidDel="00000000" w:rsidR="00000000" w:rsidRPr="00000000">
        <w:rPr>
          <w:rtl w:val="0"/>
        </w:rPr>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Mingers, John. Leydesdorff, Loed. (2015). A review of theory and practice in scientometrics. </w:t>
      </w:r>
      <w:r w:rsidDel="00000000" w:rsidR="00000000" w:rsidRPr="00000000">
        <w:rPr>
          <w:i w:val="1"/>
          <w:iCs w:val="1"/>
          <w:color w:val="1b1c1d"/>
          <w:rtl w:val="0"/>
        </w:rPr>
        <w:t xml:space="preserve">European Journal of Operational Research. 246</w:t>
      </w:r>
      <w:r w:rsidDel="00000000" w:rsidR="00000000" w:rsidRPr="00000000">
        <w:rPr>
          <w:color w:val="1b1c1d"/>
          <w:rtl w:val="0"/>
        </w:rPr>
        <w:t xml:space="preserve"> (1) 1-19.</w:t>
      </w:r>
      <w:hyperlink r:id="rId38">
        <w:r w:rsidDel="00000000" w:rsidR="00000000" w:rsidRPr="00000000">
          <w:rPr>
            <w:color w:val="1b1c1d"/>
            <w:rtl w:val="0"/>
          </w:rPr>
          <w:t xml:space="preserve"> </w:t>
        </w:r>
      </w:hyperlink>
      <w:hyperlink r:id="rId39">
        <w:r w:rsidDel="00000000" w:rsidR="00000000" w:rsidRPr="00000000">
          <w:rPr>
            <w:color w:val="0b57d0"/>
            <w:u w:val="single"/>
            <w:rtl w:val="0"/>
          </w:rPr>
          <w:t xml:space="preserve">https://doi.org/10.1016/j.ejor.2015.04.002</w:t>
        </w:r>
      </w:hyperlink>
      <w:r w:rsidDel="00000000" w:rsidR="00000000" w:rsidRPr="00000000">
        <w:rPr>
          <w:rtl w:val="0"/>
        </w:rPr>
      </w:r>
    </w:p>
    <w:p w:rsidR="00000000" w:rsidDel="00000000" w:rsidP="00000000" w:rsidRDefault="00000000" w:rsidRPr="00000000" w14:paraId="0000008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Moed, Henk F. (2015). Multidimensional assessment of scholarly research impact. </w:t>
      </w:r>
      <w:r w:rsidDel="00000000" w:rsidR="00000000" w:rsidRPr="00000000">
        <w:rPr>
          <w:i w:val="1"/>
          <w:iCs w:val="1"/>
          <w:color w:val="1b1c1d"/>
          <w:rtl w:val="0"/>
        </w:rPr>
        <w:t xml:space="preserve">Journal of the Association for Information Science and Technology</w:t>
      </w:r>
      <w:r w:rsidDel="00000000" w:rsidR="00000000" w:rsidRPr="00000000">
        <w:rPr>
          <w:color w:val="1b1c1d"/>
          <w:rtl w:val="0"/>
        </w:rPr>
        <w:t xml:space="preserve">, v. 66, pp. 1988.</w:t>
      </w:r>
      <w:hyperlink r:id="rId40">
        <w:r w:rsidDel="00000000" w:rsidR="00000000" w:rsidRPr="00000000">
          <w:rPr>
            <w:color w:val="1b1c1d"/>
            <w:rtl w:val="0"/>
          </w:rPr>
          <w:t xml:space="preserve"> </w:t>
        </w:r>
      </w:hyperlink>
      <w:hyperlink r:id="rId41">
        <w:r w:rsidDel="00000000" w:rsidR="00000000" w:rsidRPr="00000000">
          <w:rPr>
            <w:color w:val="0b57d0"/>
            <w:u w:val="single"/>
            <w:rtl w:val="0"/>
          </w:rPr>
          <w:t xml:space="preserve">https://doi.org/10.1002/asi.23314</w:t>
        </w:r>
      </w:hyperlink>
      <w:r w:rsidDel="00000000" w:rsidR="00000000" w:rsidRPr="00000000">
        <w:rPr>
          <w:rtl w:val="0"/>
        </w:rPr>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Moed, Henk F. (2009). New developments in the use of citation analysis in research evaluation. </w:t>
      </w:r>
      <w:r w:rsidDel="00000000" w:rsidR="00000000" w:rsidRPr="00000000">
        <w:rPr>
          <w:i w:val="1"/>
          <w:iCs w:val="1"/>
          <w:color w:val="1b1c1d"/>
          <w:rtl w:val="0"/>
        </w:rPr>
        <w:t xml:space="preserve">Archivum immunologiae et therapiae experimentalis</w:t>
      </w:r>
      <w:r w:rsidDel="00000000" w:rsidR="00000000" w:rsidRPr="00000000">
        <w:rPr>
          <w:color w:val="1b1c1d"/>
          <w:rtl w:val="0"/>
        </w:rPr>
        <w:t xml:space="preserve">, v. 57, pp. 13.</w:t>
      </w:r>
      <w:hyperlink r:id="rId42">
        <w:r w:rsidDel="00000000" w:rsidR="00000000" w:rsidRPr="00000000">
          <w:rPr>
            <w:color w:val="1b1c1d"/>
            <w:rtl w:val="0"/>
          </w:rPr>
          <w:t xml:space="preserve"> </w:t>
        </w:r>
      </w:hyperlink>
      <w:hyperlink r:id="rId43">
        <w:r w:rsidDel="00000000" w:rsidR="00000000" w:rsidRPr="00000000">
          <w:rPr>
            <w:color w:val="0b57d0"/>
            <w:u w:val="single"/>
            <w:rtl w:val="0"/>
          </w:rPr>
          <w:t xml:space="preserve">https://doi.org/10.1007/s00005-009-0001-5</w:t>
        </w:r>
      </w:hyperlink>
      <w:r w:rsidDel="00000000" w:rsidR="00000000" w:rsidRPr="00000000">
        <w:rPr>
          <w:rtl w:val="0"/>
        </w:rPr>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Moed, Henk F. (2005). </w:t>
      </w:r>
      <w:r w:rsidDel="00000000" w:rsidR="00000000" w:rsidRPr="00000000">
        <w:rPr>
          <w:i w:val="1"/>
          <w:iCs w:val="1"/>
          <w:color w:val="1b1c1d"/>
          <w:rtl w:val="0"/>
        </w:rPr>
        <w:t xml:space="preserve">Citation analysis in research evaluation</w:t>
      </w:r>
      <w:r w:rsidDel="00000000" w:rsidR="00000000" w:rsidRPr="00000000">
        <w:rPr>
          <w:color w:val="1b1c1d"/>
          <w:rtl w:val="0"/>
        </w:rPr>
        <w:t xml:space="preserve">. Springer Netherlands. ISBN: 978 14020 3714 6</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Moya-Anegón, Félix; Chinchilla-Rodríguez, Zaida (2015). “Impacto tecnológico de la investigación universitaria iberoamericana”. En: Barro, Senén (coord.). </w:t>
      </w:r>
      <w:r w:rsidDel="00000000" w:rsidR="00000000" w:rsidRPr="00000000">
        <w:rPr>
          <w:i w:val="1"/>
          <w:iCs w:val="1"/>
          <w:color w:val="1b1c1d"/>
          <w:rtl w:val="0"/>
        </w:rPr>
        <w:t xml:space="preserve">La transferencia de I+D, la innovación y el emprendimiento en las universidades. Educación superior en Iberoamérica. Informe 2015</w:t>
      </w:r>
      <w:r w:rsidDel="00000000" w:rsidR="00000000" w:rsidRPr="00000000">
        <w:rPr>
          <w:color w:val="1b1c1d"/>
          <w:rtl w:val="0"/>
        </w:rPr>
        <w:t xml:space="preserve">. ISBN: 978 956 7106 63 9.</w:t>
      </w:r>
      <w:hyperlink r:id="rId44">
        <w:r w:rsidDel="00000000" w:rsidR="00000000" w:rsidRPr="00000000">
          <w:rPr>
            <w:color w:val="1b1c1d"/>
            <w:rtl w:val="0"/>
          </w:rPr>
          <w:t xml:space="preserve"> </w:t>
        </w:r>
      </w:hyperlink>
      <w:hyperlink r:id="rId45">
        <w:r w:rsidDel="00000000" w:rsidR="00000000" w:rsidRPr="00000000">
          <w:rPr>
            <w:color w:val="0b57d0"/>
            <w:u w:val="single"/>
            <w:rtl w:val="0"/>
          </w:rPr>
          <w:t xml:space="preserve">http://hdl.handle.net/10261/115266</w:t>
        </w:r>
      </w:hyperlink>
      <w:r w:rsidDel="00000000" w:rsidR="00000000" w:rsidRPr="00000000">
        <w:rPr>
          <w:rtl w:val="0"/>
        </w:rPr>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Moya-Anegón, Félix; Guerrero-Bote, Vicente P.; Bornmann, Lutz; Moed, Henk F. (2013). “The research guarantors of scientific papers and the output counting: a promising new approach”. </w:t>
      </w:r>
      <w:r w:rsidDel="00000000" w:rsidR="00000000" w:rsidRPr="00000000">
        <w:rPr>
          <w:i w:val="1"/>
          <w:iCs w:val="1"/>
          <w:color w:val="1b1c1d"/>
          <w:rtl w:val="0"/>
        </w:rPr>
        <w:t xml:space="preserve">Scientometrics</w:t>
      </w:r>
      <w:r w:rsidDel="00000000" w:rsidR="00000000" w:rsidRPr="00000000">
        <w:rPr>
          <w:color w:val="1b1c1d"/>
          <w:rtl w:val="0"/>
        </w:rPr>
        <w:t xml:space="preserve">, v. 97, n. 2, pp. 421-434.</w:t>
      </w:r>
      <w:hyperlink r:id="rId46">
        <w:r w:rsidDel="00000000" w:rsidR="00000000" w:rsidRPr="00000000">
          <w:rPr>
            <w:color w:val="1b1c1d"/>
            <w:rtl w:val="0"/>
          </w:rPr>
          <w:t xml:space="preserve"> </w:t>
        </w:r>
      </w:hyperlink>
      <w:hyperlink r:id="rId47">
        <w:r w:rsidDel="00000000" w:rsidR="00000000" w:rsidRPr="00000000">
          <w:rPr>
            <w:color w:val="0b57d0"/>
            <w:u w:val="single"/>
            <w:rtl w:val="0"/>
          </w:rPr>
          <w:t xml:space="preserve">https://doi.org/10.1007/s11192-013-1046-0</w:t>
        </w:r>
      </w:hyperlink>
      <w:r w:rsidDel="00000000" w:rsidR="00000000" w:rsidRPr="00000000">
        <w:rPr>
          <w:rtl w:val="0"/>
        </w:rPr>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Moya-Anegón, Félix (2012). “Liderazgo y excelencia de la ciencia española”. </w:t>
      </w:r>
      <w:r w:rsidDel="00000000" w:rsidR="00000000" w:rsidRPr="00000000">
        <w:rPr>
          <w:i w:val="1"/>
          <w:iCs w:val="1"/>
          <w:color w:val="1b1c1d"/>
          <w:rtl w:val="0"/>
        </w:rPr>
        <w:t xml:space="preserve">El profesional de la información</w:t>
      </w:r>
      <w:r w:rsidDel="00000000" w:rsidR="00000000" w:rsidRPr="00000000">
        <w:rPr>
          <w:color w:val="1b1c1d"/>
          <w:rtl w:val="0"/>
        </w:rPr>
        <w:t xml:space="preserve">, v. 21, n. 2, pp. 125-128.</w:t>
      </w:r>
      <w:hyperlink r:id="rId48">
        <w:r w:rsidDel="00000000" w:rsidR="00000000" w:rsidRPr="00000000">
          <w:rPr>
            <w:color w:val="1b1c1d"/>
            <w:rtl w:val="0"/>
          </w:rPr>
          <w:t xml:space="preserve"> </w:t>
        </w:r>
      </w:hyperlink>
      <w:hyperlink r:id="rId49">
        <w:r w:rsidDel="00000000" w:rsidR="00000000" w:rsidRPr="00000000">
          <w:rPr>
            <w:color w:val="0b57d0"/>
            <w:u w:val="single"/>
            <w:rtl w:val="0"/>
          </w:rPr>
          <w:t xml:space="preserve">https://doi.org/10.3145/epi.2012.mar.01</w:t>
        </w:r>
      </w:hyperlink>
      <w:r w:rsidDel="00000000" w:rsidR="00000000" w:rsidRPr="00000000">
        <w:rPr>
          <w:rtl w:val="0"/>
        </w:rPr>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OCDE; SCImago Research Group (2015). Scientometrics - OCDE. Obtenido de Compendium of Bibliometric Science Indicators 2014:</w:t>
      </w:r>
      <w:hyperlink r:id="rId50">
        <w:r w:rsidDel="00000000" w:rsidR="00000000" w:rsidRPr="00000000">
          <w:rPr>
            <w:color w:val="1b1c1d"/>
            <w:rtl w:val="0"/>
          </w:rPr>
          <w:t xml:space="preserve"> </w:t>
        </w:r>
      </w:hyperlink>
      <w:hyperlink r:id="rId51">
        <w:r w:rsidDel="00000000" w:rsidR="00000000" w:rsidRPr="00000000">
          <w:rPr>
            <w:color w:val="0b57d0"/>
            <w:u w:val="single"/>
            <w:rtl w:val="0"/>
          </w:rPr>
          <w:t xml:space="preserve">http://oe.cd/scientometrics</w:t>
        </w:r>
      </w:hyperlink>
      <w:r w:rsidDel="00000000" w:rsidR="00000000" w:rsidRPr="00000000">
        <w:rPr>
          <w:rtl w:val="0"/>
        </w:rPr>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Rehn, Catharina; Kronman, Ulf (2008). “Bibliometrics”. </w:t>
      </w:r>
      <w:r w:rsidDel="00000000" w:rsidR="00000000" w:rsidRPr="00000000">
        <w:rPr>
          <w:i w:val="1"/>
          <w:iCs w:val="1"/>
          <w:color w:val="1b1c1d"/>
          <w:rtl w:val="0"/>
        </w:rPr>
        <w:t xml:space="preserve">Karolinska Institutet Universitetbiblioteket</w:t>
      </w:r>
      <w:r w:rsidDel="00000000" w:rsidR="00000000" w:rsidRPr="00000000">
        <w:rPr>
          <w:color w:val="1b1c1d"/>
          <w:rtl w:val="0"/>
        </w:rPr>
        <w:t xml:space="preserve">.</w:t>
      </w:r>
      <w:hyperlink r:id="rId52">
        <w:r w:rsidDel="00000000" w:rsidR="00000000" w:rsidRPr="00000000">
          <w:rPr>
            <w:color w:val="1b1c1d"/>
            <w:rtl w:val="0"/>
          </w:rPr>
          <w:t xml:space="preserve"> </w:t>
        </w:r>
      </w:hyperlink>
      <w:hyperlink r:id="rId53">
        <w:r w:rsidDel="00000000" w:rsidR="00000000" w:rsidRPr="00000000">
          <w:rPr>
            <w:color w:val="0b57d0"/>
            <w:u w:val="single"/>
            <w:rtl w:val="0"/>
          </w:rPr>
          <w:t xml:space="preserve">https://kib.ki.se/en/publish-analyse/bibliometrics</w:t>
        </w:r>
      </w:hyperlink>
      <w:r w:rsidDel="00000000" w:rsidR="00000000" w:rsidRPr="00000000">
        <w:rPr>
          <w:rtl w:val="0"/>
        </w:rPr>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Romo-Fernández, Luz M.; López-Pujalte, Cristina; Guerrero-Bote, Vicente P.; Moya-Anegón, Félix (2011). “Analysis of Europe’s scientific production on renewable energies”. </w:t>
      </w:r>
      <w:r w:rsidDel="00000000" w:rsidR="00000000" w:rsidRPr="00000000">
        <w:rPr>
          <w:i w:val="1"/>
          <w:iCs w:val="1"/>
          <w:color w:val="1b1c1d"/>
          <w:rtl w:val="0"/>
        </w:rPr>
        <w:t xml:space="preserve">Renewable energy</w:t>
      </w:r>
      <w:r w:rsidDel="00000000" w:rsidR="00000000" w:rsidRPr="00000000">
        <w:rPr>
          <w:color w:val="1b1c1d"/>
          <w:rtl w:val="0"/>
        </w:rPr>
        <w:t xml:space="preserve">, v. 36, n. 9, pp. 2529-2537.</w:t>
      </w:r>
      <w:hyperlink r:id="rId54">
        <w:r w:rsidDel="00000000" w:rsidR="00000000" w:rsidRPr="00000000">
          <w:rPr>
            <w:color w:val="1b1c1d"/>
            <w:rtl w:val="0"/>
          </w:rPr>
          <w:t xml:space="preserve"> </w:t>
        </w:r>
      </w:hyperlink>
      <w:hyperlink r:id="rId55">
        <w:r w:rsidDel="00000000" w:rsidR="00000000" w:rsidRPr="00000000">
          <w:rPr>
            <w:color w:val="0b57d0"/>
            <w:u w:val="single"/>
            <w:rtl w:val="0"/>
          </w:rPr>
          <w:t xml:space="preserve">https://doi.org/10.1016/j.renene.2011.02.001</w:t>
        </w:r>
      </w:hyperlink>
      <w:r w:rsidDel="00000000" w:rsidR="00000000" w:rsidRPr="00000000">
        <w:rPr>
          <w:rtl w:val="0"/>
        </w:rPr>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SEGIB (2023). Secretaría General Iberoamericana. Quienes somos. Disponible en:</w:t>
      </w:r>
      <w:hyperlink r:id="rId56">
        <w:r w:rsidDel="00000000" w:rsidR="00000000" w:rsidRPr="00000000">
          <w:rPr>
            <w:color w:val="1b1c1d"/>
            <w:rtl w:val="0"/>
          </w:rPr>
          <w:t xml:space="preserve"> </w:t>
        </w:r>
      </w:hyperlink>
      <w:hyperlink r:id="rId57">
        <w:r w:rsidDel="00000000" w:rsidR="00000000" w:rsidRPr="00000000">
          <w:rPr>
            <w:color w:val="0b57d0"/>
            <w:u w:val="single"/>
            <w:rtl w:val="0"/>
          </w:rPr>
          <w:t xml:space="preserve">https://www.segib.org/quienes-somos/</w:t>
        </w:r>
      </w:hyperlink>
      <w:r w:rsidDel="00000000" w:rsidR="00000000" w:rsidRPr="00000000">
        <w:rPr>
          <w:rtl w:val="0"/>
        </w:rPr>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Van-Raan, Anthony F. J. (2004). “Measuring science”. En: Moed, Henk F.; Glänzel, Wolfgang; Schmoch, Ulrich. </w:t>
      </w:r>
      <w:r w:rsidDel="00000000" w:rsidR="00000000" w:rsidRPr="00000000">
        <w:rPr>
          <w:i w:val="1"/>
          <w:iCs w:val="1"/>
          <w:color w:val="1b1c1d"/>
          <w:rtl w:val="0"/>
        </w:rPr>
        <w:t xml:space="preserve">Handbook of quantitative science and technology research</w:t>
      </w:r>
      <w:r w:rsidDel="00000000" w:rsidR="00000000" w:rsidRPr="00000000">
        <w:rPr>
          <w:color w:val="1b1c1d"/>
          <w:rtl w:val="0"/>
        </w:rPr>
        <w:t xml:space="preserve">. Dordrecht: Springer. ISBN: 978 1402027024</w:t>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Waltman, Ludo (2016). “A review of the literature on citation impact indicators”. </w:t>
      </w:r>
      <w:r w:rsidDel="00000000" w:rsidR="00000000" w:rsidRPr="00000000">
        <w:rPr>
          <w:i w:val="1"/>
          <w:iCs w:val="1"/>
          <w:color w:val="1b1c1d"/>
          <w:rtl w:val="0"/>
        </w:rPr>
        <w:t xml:space="preserve">Journal of informetrics</w:t>
      </w:r>
      <w:r w:rsidDel="00000000" w:rsidR="00000000" w:rsidRPr="00000000">
        <w:rPr>
          <w:color w:val="1b1c1d"/>
          <w:rtl w:val="0"/>
        </w:rPr>
        <w:t xml:space="preserve">, v. 10, n. 2, pp. 365-391.</w:t>
      </w:r>
      <w:hyperlink r:id="rId58">
        <w:r w:rsidDel="00000000" w:rsidR="00000000" w:rsidRPr="00000000">
          <w:rPr>
            <w:color w:val="1b1c1d"/>
            <w:rtl w:val="0"/>
          </w:rPr>
          <w:t xml:space="preserve"> </w:t>
        </w:r>
      </w:hyperlink>
      <w:hyperlink r:id="rId59">
        <w:r w:rsidDel="00000000" w:rsidR="00000000" w:rsidRPr="00000000">
          <w:rPr>
            <w:color w:val="0b57d0"/>
            <w:u w:val="single"/>
            <w:rtl w:val="0"/>
          </w:rPr>
          <w:t xml:space="preserve">https://doi.org/10.1016/j.joi.2016.02.007</w:t>
        </w:r>
      </w:hyperlink>
      <w:r w:rsidDel="00000000" w:rsidR="00000000" w:rsidRPr="00000000">
        <w:rPr>
          <w:rtl w:val="0"/>
        </w:rPr>
      </w:r>
    </w:p>
    <w:p w:rsidR="00000000" w:rsidDel="00000000" w:rsidP="00000000" w:rsidRDefault="00000000" w:rsidRPr="00000000" w14:paraId="0000009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Waltman, Ludo; Van-Eck, Nees-Jan; Van-Leeuwen, Thed N.; Visser, Martjin S.; Van-Raan, Anthony F. J. (2011). “On the correlation between bibliometric indicators and peer review: Reply to Opthof and Leydesdorff”. </w:t>
      </w:r>
      <w:r w:rsidDel="00000000" w:rsidR="00000000" w:rsidRPr="00000000">
        <w:rPr>
          <w:i w:val="1"/>
          <w:iCs w:val="1"/>
          <w:color w:val="1b1c1d"/>
          <w:rtl w:val="0"/>
        </w:rPr>
        <w:t xml:space="preserve">Scientometrics</w:t>
      </w:r>
      <w:r w:rsidDel="00000000" w:rsidR="00000000" w:rsidRPr="00000000">
        <w:rPr>
          <w:color w:val="1b1c1d"/>
          <w:rtl w:val="0"/>
        </w:rPr>
        <w:t xml:space="preserve">, v. 88, n. 3, pp. 1017-1022.</w:t>
      </w:r>
      <w:hyperlink r:id="rId60">
        <w:r w:rsidDel="00000000" w:rsidR="00000000" w:rsidRPr="00000000">
          <w:rPr>
            <w:color w:val="1b1c1d"/>
            <w:rtl w:val="0"/>
          </w:rPr>
          <w:t xml:space="preserve"> </w:t>
        </w:r>
      </w:hyperlink>
      <w:hyperlink r:id="rId61">
        <w:r w:rsidDel="00000000" w:rsidR="00000000" w:rsidRPr="00000000">
          <w:rPr>
            <w:color w:val="0b57d0"/>
            <w:u w:val="single"/>
            <w:rtl w:val="0"/>
          </w:rPr>
          <w:t xml:space="preserve">https://doi.org/10.1007/s11192-011-0425-7</w:t>
        </w:r>
      </w:hyperlink>
      <w:r w:rsidDel="00000000" w:rsidR="00000000" w:rsidRPr="00000000">
        <w:rPr>
          <w:rtl w:val="0"/>
        </w:rPr>
      </w:r>
    </w:p>
    <w:p w:rsidR="00000000" w:rsidDel="00000000" w:rsidP="00000000" w:rsidRDefault="00000000" w:rsidRPr="00000000" w14:paraId="0000009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Wilsdon, James; Allen, Liz; Belfiore, Eleonora; Campbell, Philip; Curry, Stephen; Hill, Steven; Jones, Richard; Kain, Roger; Kerridge, Simon; Thelwall, Mike; Tinkler, Jane; Viney, Ian; Wouters, Paul; Hill, Jude; Johnson, Ben (2015). The Metric Tide: Report of the independent review of the role of metrics in research assessment and management. ISBN: 1902369273.</w:t>
      </w:r>
      <w:hyperlink r:id="rId62">
        <w:r w:rsidDel="00000000" w:rsidR="00000000" w:rsidRPr="00000000">
          <w:rPr>
            <w:color w:val="1b1c1d"/>
            <w:rtl w:val="0"/>
          </w:rPr>
          <w:t xml:space="preserve"> </w:t>
        </w:r>
      </w:hyperlink>
      <w:hyperlink r:id="rId63">
        <w:r w:rsidDel="00000000" w:rsidR="00000000" w:rsidRPr="00000000">
          <w:rPr>
            <w:color w:val="0b57d0"/>
            <w:u w:val="single"/>
            <w:rtl w:val="0"/>
          </w:rPr>
          <w:t xml:space="preserve">https://doi.org/10.13140/RG.2.1.4929.1363</w:t>
        </w:r>
      </w:hyperlink>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02/asi.23314" TargetMode="External"/><Relationship Id="rId42" Type="http://schemas.openxmlformats.org/officeDocument/2006/relationships/hyperlink" Target="https://doi.org/10.1007/s00005-009-0001-5" TargetMode="External"/><Relationship Id="rId41" Type="http://schemas.openxmlformats.org/officeDocument/2006/relationships/hyperlink" Target="https://doi.org/10.1002/asi.23314" TargetMode="External"/><Relationship Id="rId44" Type="http://schemas.openxmlformats.org/officeDocument/2006/relationships/hyperlink" Target="http://hdl.handle.net/10261/115266" TargetMode="External"/><Relationship Id="rId43" Type="http://schemas.openxmlformats.org/officeDocument/2006/relationships/hyperlink" Target="https://doi.org/10.1007/s00005-009-0001-5" TargetMode="External"/><Relationship Id="rId46" Type="http://schemas.openxmlformats.org/officeDocument/2006/relationships/hyperlink" Target="https://doi.org/10.1007/s11192-013-1046-0" TargetMode="External"/><Relationship Id="rId45" Type="http://schemas.openxmlformats.org/officeDocument/2006/relationships/hyperlink" Target="http://hdl.handle.net/10261/1152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23/A:1014800407876" TargetMode="External"/><Relationship Id="rId48" Type="http://schemas.openxmlformats.org/officeDocument/2006/relationships/hyperlink" Target="https://doi.org/10.3145/epi.2012.mar.01" TargetMode="External"/><Relationship Id="rId47" Type="http://schemas.openxmlformats.org/officeDocument/2006/relationships/hyperlink" Target="https://doi.org/10.1007/s11192-013-1046-0" TargetMode="External"/><Relationship Id="rId49" Type="http://schemas.openxmlformats.org/officeDocument/2006/relationships/hyperlink" Target="https://doi.org/10.3145/epi.2012.mar.01" TargetMode="External"/><Relationship Id="rId5" Type="http://schemas.openxmlformats.org/officeDocument/2006/relationships/styles" Target="styles.xml"/><Relationship Id="rId6" Type="http://schemas.openxmlformats.org/officeDocument/2006/relationships/hyperlink" Target="https://www.scimagoir.com/"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doi.org/10.1002/asi.22754" TargetMode="External"/><Relationship Id="rId30" Type="http://schemas.openxmlformats.org/officeDocument/2006/relationships/hyperlink" Target="https://doi.org/10.1002/asi.22754" TargetMode="External"/><Relationship Id="rId33" Type="http://schemas.openxmlformats.org/officeDocument/2006/relationships/hyperlink" Target="https://doi.org/10.1016/j.joi.2012.07.001" TargetMode="External"/><Relationship Id="rId32" Type="http://schemas.openxmlformats.org/officeDocument/2006/relationships/hyperlink" Target="https://doi.org/10.1016/j.joi.2012.07.001" TargetMode="External"/><Relationship Id="rId35" Type="http://schemas.openxmlformats.org/officeDocument/2006/relationships/hyperlink" Target="https://doi.org/10.1007/s11192-012-0797-3" TargetMode="External"/><Relationship Id="rId34" Type="http://schemas.openxmlformats.org/officeDocument/2006/relationships/hyperlink" Target="https://doi.org/10.1007/s11192-012-0797-3" TargetMode="External"/><Relationship Id="rId37" Type="http://schemas.openxmlformats.org/officeDocument/2006/relationships/hyperlink" Target="https://doi.org/10.1002/asi.21532" TargetMode="External"/><Relationship Id="rId36" Type="http://schemas.openxmlformats.org/officeDocument/2006/relationships/hyperlink" Target="https://doi.org/10.1002/asi.21532" TargetMode="External"/><Relationship Id="rId39" Type="http://schemas.openxmlformats.org/officeDocument/2006/relationships/hyperlink" Target="https://doi.org/10.1016/j.ejor.2015.04.002" TargetMode="External"/><Relationship Id="rId38" Type="http://schemas.openxmlformats.org/officeDocument/2006/relationships/hyperlink" Target="https://doi.org/10.1016/j.ejor.2015.04.002" TargetMode="External"/><Relationship Id="rId62" Type="http://schemas.openxmlformats.org/officeDocument/2006/relationships/hyperlink" Target="https://doi.org/10.13140/RG.2.1.4929.1363" TargetMode="External"/><Relationship Id="rId61" Type="http://schemas.openxmlformats.org/officeDocument/2006/relationships/hyperlink" Target="https://doi.org/10.1007/s11192-011-0425-7" TargetMode="External"/><Relationship Id="rId20" Type="http://schemas.openxmlformats.org/officeDocument/2006/relationships/hyperlink" Target="https://doi.org/10.3989/redc.2013.3.942" TargetMode="External"/><Relationship Id="rId63" Type="http://schemas.openxmlformats.org/officeDocument/2006/relationships/hyperlink" Target="https://doi.org/10.13140/RG.2.1.4929.1363" TargetMode="External"/><Relationship Id="rId22" Type="http://schemas.openxmlformats.org/officeDocument/2006/relationships/hyperlink" Target="https://doi.org/10.1016/j.joi.2010.03.002" TargetMode="External"/><Relationship Id="rId21" Type="http://schemas.openxmlformats.org/officeDocument/2006/relationships/hyperlink" Target="https://doi.org/10.3989/redc.2013.3.942" TargetMode="External"/><Relationship Id="rId24" Type="http://schemas.openxmlformats.org/officeDocument/2006/relationships/hyperlink" Target="https://doi.org/10.1007/s11192-022-04295-9" TargetMode="External"/><Relationship Id="rId23" Type="http://schemas.openxmlformats.org/officeDocument/2006/relationships/hyperlink" Target="https://doi.org/10.1016/j.joi.2010.03.002" TargetMode="External"/><Relationship Id="rId60" Type="http://schemas.openxmlformats.org/officeDocument/2006/relationships/hyperlink" Target="https://doi.org/10.1007/s11192-011-0425-7" TargetMode="External"/><Relationship Id="rId26" Type="http://schemas.openxmlformats.org/officeDocument/2006/relationships/hyperlink" Target="https://doi.org/10.2478/jdis-2021-00" TargetMode="External"/><Relationship Id="rId25" Type="http://schemas.openxmlformats.org/officeDocument/2006/relationships/hyperlink" Target="https://doi.org/10.1007/s11192-022-04295-9" TargetMode="External"/><Relationship Id="rId28" Type="http://schemas.openxmlformats.org/officeDocument/2006/relationships/hyperlink" Target="https://doi.org/10.3145/epi.2019.jul.01" TargetMode="External"/><Relationship Id="rId27" Type="http://schemas.openxmlformats.org/officeDocument/2006/relationships/hyperlink" Target="https://doi.org/10.2478/jdis-2021-00" TargetMode="External"/><Relationship Id="rId29" Type="http://schemas.openxmlformats.org/officeDocument/2006/relationships/hyperlink" Target="https://doi.org/10.3145/epi.2019.jul.01" TargetMode="External"/><Relationship Id="rId51" Type="http://schemas.openxmlformats.org/officeDocument/2006/relationships/hyperlink" Target="http://oe.cd/scientometrics" TargetMode="External"/><Relationship Id="rId50" Type="http://schemas.openxmlformats.org/officeDocument/2006/relationships/hyperlink" Target="http://oe.cd/scientometrics" TargetMode="External"/><Relationship Id="rId53" Type="http://schemas.openxmlformats.org/officeDocument/2006/relationships/hyperlink" Target="https://kib.ki.se/en/publish-analyse/bibliometrics" TargetMode="External"/><Relationship Id="rId52" Type="http://schemas.openxmlformats.org/officeDocument/2006/relationships/hyperlink" Target="https://kib.ki.se/en/publish-analyse/bibliometrics" TargetMode="External"/><Relationship Id="rId11" Type="http://schemas.openxmlformats.org/officeDocument/2006/relationships/hyperlink" Target="https://doi.org/10.1007/s10734-016-9995-x" TargetMode="External"/><Relationship Id="rId55" Type="http://schemas.openxmlformats.org/officeDocument/2006/relationships/hyperlink" Target="https://doi.org/10.1016/j.renene.2011.02.001" TargetMode="External"/><Relationship Id="rId10" Type="http://schemas.openxmlformats.org/officeDocument/2006/relationships/hyperlink" Target="https://doi.org/10.1023/A:1014800407876" TargetMode="External"/><Relationship Id="rId54" Type="http://schemas.openxmlformats.org/officeDocument/2006/relationships/hyperlink" Target="https://doi.org/10.1016/j.renene.2011.02.001" TargetMode="External"/><Relationship Id="rId13" Type="http://schemas.openxmlformats.org/officeDocument/2006/relationships/hyperlink" Target="https://doi.org/10.1108/OIR-12-2012-0214" TargetMode="External"/><Relationship Id="rId57" Type="http://schemas.openxmlformats.org/officeDocument/2006/relationships/hyperlink" Target="https://www.segib.org/quienes-somos/" TargetMode="External"/><Relationship Id="rId12" Type="http://schemas.openxmlformats.org/officeDocument/2006/relationships/hyperlink" Target="https://doi.org/10.1007/s10734-016-9995-x" TargetMode="External"/><Relationship Id="rId56" Type="http://schemas.openxmlformats.org/officeDocument/2006/relationships/hyperlink" Target="https://www.segib.org/quienes-somos/" TargetMode="External"/><Relationship Id="rId15" Type="http://schemas.openxmlformats.org/officeDocument/2006/relationships/hyperlink" Target="https://doi.org/10.1016/j.joi.2011.11.006" TargetMode="External"/><Relationship Id="rId59" Type="http://schemas.openxmlformats.org/officeDocument/2006/relationships/hyperlink" Target="https://doi.org/10.1016/j.joi.2016.02.007" TargetMode="External"/><Relationship Id="rId14" Type="http://schemas.openxmlformats.org/officeDocument/2006/relationships/hyperlink" Target="https://doi.org/10.1108/OIR-12-2012-0214" TargetMode="External"/><Relationship Id="rId58" Type="http://schemas.openxmlformats.org/officeDocument/2006/relationships/hyperlink" Target="https://doi.org/10.1016/j.joi.2016.02.007" TargetMode="External"/><Relationship Id="rId17" Type="http://schemas.openxmlformats.org/officeDocument/2006/relationships/hyperlink" Target="https://doi.org/10.3354/esep00084" TargetMode="External"/><Relationship Id="rId16" Type="http://schemas.openxmlformats.org/officeDocument/2006/relationships/hyperlink" Target="https://doi.org/10.1016/j.joi.2011.11.006" TargetMode="External"/><Relationship Id="rId19" Type="http://schemas.openxmlformats.org/officeDocument/2006/relationships/hyperlink" Target="https://doi.org/10.1002/asi.22669" TargetMode="External"/><Relationship Id="rId18" Type="http://schemas.openxmlformats.org/officeDocument/2006/relationships/hyperlink" Target="https://doi.org/10.1002/asi.22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