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12631" w14:textId="0109BBAB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  <w:r>
        <w:rPr>
          <w:rStyle w:val="normaltextrun"/>
          <w:rFonts w:ascii="Arial" w:hAnsi="Arial" w:cs="Arial"/>
          <w:i/>
          <w:iCs/>
          <w:noProof/>
          <w:lang w:val="es-ES"/>
        </w:rPr>
        <w:drawing>
          <wp:inline distT="0" distB="0" distL="0" distR="0" wp14:anchorId="6D713B2D" wp14:editId="2BF8260F">
            <wp:extent cx="5710555" cy="2575560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3869" w14:textId="15E247BD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  <w:r w:rsidRPr="00772EC3">
        <w:rPr>
          <w:i/>
          <w:iCs/>
          <w:lang w:val="es-ES"/>
        </w:rPr>
        <w:t>Figura 26.</w:t>
      </w:r>
      <w:r>
        <w:rPr>
          <w:lang w:val="es-ES"/>
        </w:rPr>
        <w:t xml:space="preserve"> Reporte</w:t>
      </w:r>
      <w:r>
        <w:t xml:space="preserve"> de calidad generado por FastQC para la lectura Reverse después del filtrado con Trimmomatic. </w:t>
      </w:r>
    </w:p>
    <w:p w14:paraId="5D8FEF66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</w:p>
    <w:p w14:paraId="1BBB991E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</w:p>
    <w:p w14:paraId="6EBB14DE" w14:textId="3556669D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  <w:r>
        <w:rPr>
          <w:rStyle w:val="normaltextrun"/>
          <w:rFonts w:ascii="Arial" w:hAnsi="Arial" w:cs="Arial"/>
          <w:i/>
          <w:iCs/>
          <w:noProof/>
          <w:lang w:val="es-ES"/>
        </w:rPr>
        <w:drawing>
          <wp:inline distT="0" distB="0" distL="0" distR="0" wp14:anchorId="410DBB4A" wp14:editId="6FAF5B81">
            <wp:extent cx="5710555" cy="3284220"/>
            <wp:effectExtent l="0" t="0" r="444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8376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</w:p>
    <w:p w14:paraId="0B40B1E6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</w:p>
    <w:p w14:paraId="24CDE847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lang w:val="es-ES"/>
        </w:rPr>
      </w:pPr>
    </w:p>
    <w:p w14:paraId="4E2BFC90" w14:textId="69C694DE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i/>
          <w:iCs/>
          <w:lang w:val="es-ES"/>
        </w:rPr>
        <w:t>Figura 27. </w:t>
      </w:r>
      <w:r>
        <w:rPr>
          <w:rStyle w:val="normaltextrun"/>
          <w:rFonts w:ascii="Arial" w:hAnsi="Arial" w:cs="Arial"/>
          <w:lang w:val="es-ES"/>
        </w:rPr>
        <w:t>Grafica de la calidad por base de la secuencia Reverse filtrada donde reserve conserva una calidad alta después del recorte.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088503E5" w14:textId="4549D6A9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3C10AB71" wp14:editId="2089107A">
            <wp:extent cx="5717540" cy="33686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 28. Calidad</w:t>
      </w:r>
      <w:r>
        <w:rPr>
          <w:rStyle w:val="normaltextrun"/>
          <w:rFonts w:ascii="Arial" w:hAnsi="Arial" w:cs="Arial"/>
          <w:lang w:val="es-ES"/>
        </w:rPr>
        <w:t> por tilde de la secuencia Reverse filtrada 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71F32B06" w14:textId="2673BF58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68DF05B" wp14:editId="0D378847">
            <wp:extent cx="5717540" cy="32823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18C68649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i/>
          <w:iCs/>
          <w:lang w:val="es-ES"/>
        </w:rPr>
        <w:t>Figura 29. </w:t>
      </w:r>
      <w:r>
        <w:rPr>
          <w:rStyle w:val="normaltextrun"/>
          <w:rFonts w:ascii="Arial" w:hAnsi="Arial" w:cs="Arial"/>
          <w:lang w:val="es-ES"/>
        </w:rPr>
        <w:t>Grafica de la distribución estable de nucleótidos de la lectura Reverse. Esto indica que, después de la limpieza los datos son adecuados para el ensamblaje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131A50CD" w14:textId="3B7B0E49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6E4AB8E2" wp14:editId="44B3A984">
            <wp:extent cx="5717540" cy="41579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 30. </w:t>
      </w:r>
      <w:r>
        <w:rPr>
          <w:rStyle w:val="normaltextrun"/>
          <w:rFonts w:ascii="Arial" w:hAnsi="Arial" w:cs="Arial"/>
          <w:lang w:val="es-ES"/>
        </w:rPr>
        <w:t>Curva del contenido final de GC de la secuencia Reverse filtrada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739A7760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07E292D8" w14:textId="4E7FDBB2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43A3B089" wp14:editId="30307832">
            <wp:extent cx="5717540" cy="27336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 31. </w:t>
      </w:r>
      <w:r>
        <w:rPr>
          <w:rStyle w:val="normaltextrun"/>
          <w:rFonts w:ascii="Arial" w:hAnsi="Arial" w:cs="Arial"/>
          <w:lang w:val="es-ES"/>
        </w:rPr>
        <w:t>Ensamblaje de </w:t>
      </w:r>
      <w:proofErr w:type="spellStart"/>
      <w:r>
        <w:rPr>
          <w:rStyle w:val="normaltextrun"/>
          <w:rFonts w:ascii="Arial" w:hAnsi="Arial" w:cs="Arial"/>
          <w:lang w:val="es-ES"/>
        </w:rPr>
        <w:t>novo</w:t>
      </w:r>
      <w:proofErr w:type="spellEnd"/>
      <w:r>
        <w:rPr>
          <w:rStyle w:val="normaltextrun"/>
          <w:rFonts w:ascii="Arial" w:hAnsi="Arial" w:cs="Arial"/>
          <w:lang w:val="es-ES"/>
        </w:rPr>
        <w:t> mediante </w:t>
      </w:r>
      <w:proofErr w:type="spellStart"/>
      <w:r>
        <w:rPr>
          <w:rStyle w:val="normaltextrun"/>
          <w:rFonts w:ascii="Arial" w:hAnsi="Arial" w:cs="Arial"/>
          <w:lang w:val="es-ES"/>
        </w:rPr>
        <w:t>Shovill</w:t>
      </w:r>
      <w:proofErr w:type="spellEnd"/>
      <w:r>
        <w:rPr>
          <w:rStyle w:val="normaltextrun"/>
          <w:rFonts w:ascii="Arial" w:hAnsi="Arial" w:cs="Arial"/>
          <w:lang w:val="es-ES"/>
        </w:rPr>
        <w:t> en Galaxy lo cual permitió unir lecturas Forward y Reverse.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1A280A6A" w14:textId="7442AFCD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79B84A1D" wp14:editId="4D98A6C5">
            <wp:extent cx="5717540" cy="32632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 32. </w:t>
      </w:r>
      <w:r>
        <w:rPr>
          <w:rStyle w:val="normaltextrun"/>
          <w:rFonts w:ascii="Arial" w:hAnsi="Arial" w:cs="Arial"/>
          <w:lang w:val="es-ES"/>
        </w:rPr>
        <w:t>Archivos de </w:t>
      </w:r>
      <w:proofErr w:type="spellStart"/>
      <w:r>
        <w:rPr>
          <w:rStyle w:val="normaltextrun"/>
          <w:rFonts w:ascii="Arial" w:hAnsi="Arial" w:cs="Arial"/>
          <w:lang w:val="es-ES"/>
        </w:rPr>
        <w:t>contings</w:t>
      </w:r>
      <w:proofErr w:type="spellEnd"/>
      <w:r>
        <w:rPr>
          <w:rStyle w:val="normaltextrun"/>
          <w:rFonts w:ascii="Arial" w:hAnsi="Arial" w:cs="Arial"/>
          <w:lang w:val="es-ES"/>
        </w:rPr>
        <w:t> generado por </w:t>
      </w:r>
      <w:proofErr w:type="spellStart"/>
      <w:r>
        <w:rPr>
          <w:rStyle w:val="normaltextrun"/>
          <w:rFonts w:ascii="Arial" w:hAnsi="Arial" w:cs="Arial"/>
          <w:lang w:val="es-ES"/>
        </w:rPr>
        <w:t>Shovill</w:t>
      </w:r>
      <w:proofErr w:type="spellEnd"/>
      <w:r>
        <w:rPr>
          <w:rStyle w:val="normaltextrun"/>
          <w:rFonts w:ascii="Arial" w:hAnsi="Arial" w:cs="Arial"/>
          <w:lang w:val="es-ES"/>
        </w:rPr>
        <w:t> en formato FASTA que serán usados para evaluar la calidad del ensamblaje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0D2442DA" w14:textId="0415720B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2E002C47" wp14:editId="19D46438">
            <wp:extent cx="5717540" cy="44176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lang w:val="es-ES"/>
        </w:rPr>
        <w:t>Figura 33. Evaluación del ensamblaje con QUAST con indicadores del ensamblaje como números de </w:t>
      </w:r>
      <w:proofErr w:type="spellStart"/>
      <w:r>
        <w:rPr>
          <w:rStyle w:val="normaltextrun"/>
          <w:rFonts w:ascii="Arial" w:hAnsi="Arial" w:cs="Arial"/>
          <w:lang w:val="es-ES"/>
        </w:rPr>
        <w:t>contings</w:t>
      </w:r>
      <w:proofErr w:type="spellEnd"/>
      <w:r>
        <w:rPr>
          <w:rStyle w:val="normaltextrun"/>
          <w:rFonts w:ascii="Arial" w:hAnsi="Arial" w:cs="Arial"/>
          <w:lang w:val="es-ES"/>
        </w:rPr>
        <w:t>, longitud total., n50, L50 y contenido de GC.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43255D77" w14:textId="23669EC4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57AF6F71" wp14:editId="2EB9A7C9">
            <wp:extent cx="5717540" cy="30416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 34. </w:t>
      </w:r>
      <w:r>
        <w:rPr>
          <w:rStyle w:val="normaltextrun"/>
          <w:rFonts w:ascii="Arial" w:hAnsi="Arial" w:cs="Arial"/>
          <w:lang w:val="es-ES"/>
        </w:rPr>
        <w:t>Curva acumulada de longitud de </w:t>
      </w:r>
      <w:proofErr w:type="spellStart"/>
      <w:r>
        <w:rPr>
          <w:rStyle w:val="normaltextrun"/>
          <w:rFonts w:ascii="Arial" w:hAnsi="Arial" w:cs="Arial"/>
          <w:lang w:val="es-ES"/>
        </w:rPr>
        <w:t>contings</w:t>
      </w:r>
      <w:proofErr w:type="spellEnd"/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0B7F87E2" w14:textId="7F0C90E6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00531F1E" wp14:editId="6D876A79">
            <wp:extent cx="5755640" cy="26181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 35.</w:t>
      </w:r>
      <w:r>
        <w:rPr>
          <w:rStyle w:val="normaltextrun"/>
          <w:rFonts w:ascii="Arial" w:hAnsi="Arial" w:cs="Arial"/>
          <w:lang w:val="es-ES"/>
        </w:rPr>
        <w:t> Resumen generado por </w:t>
      </w:r>
      <w:proofErr w:type="spellStart"/>
      <w:proofErr w:type="gramStart"/>
      <w:r>
        <w:rPr>
          <w:rStyle w:val="normaltextrun"/>
          <w:rFonts w:ascii="Arial" w:hAnsi="Arial" w:cs="Arial"/>
          <w:lang w:val="es-ES"/>
        </w:rPr>
        <w:t>Prokka,donde</w:t>
      </w:r>
      <w:proofErr w:type="spellEnd"/>
      <w:proofErr w:type="gramEnd"/>
      <w:r>
        <w:rPr>
          <w:rStyle w:val="normaltextrun"/>
          <w:rFonts w:ascii="Arial" w:hAnsi="Arial" w:cs="Arial"/>
          <w:lang w:val="es-ES"/>
        </w:rPr>
        <w:t> se identifican </w:t>
      </w:r>
      <w:proofErr w:type="spellStart"/>
      <w:r>
        <w:rPr>
          <w:rStyle w:val="normaltextrun"/>
          <w:rFonts w:ascii="Arial" w:hAnsi="Arial" w:cs="Arial"/>
          <w:lang w:val="es-ES"/>
        </w:rPr>
        <w:t>genes,CDS,rRNA,tRNA</w:t>
      </w:r>
      <w:proofErr w:type="spellEnd"/>
      <w:r>
        <w:rPr>
          <w:rStyle w:val="normaltextrun"/>
          <w:rFonts w:ascii="Arial" w:hAnsi="Arial" w:cs="Arial"/>
          <w:lang w:val="es-ES"/>
        </w:rPr>
        <w:t> y </w:t>
      </w:r>
      <w:proofErr w:type="spellStart"/>
      <w:r>
        <w:rPr>
          <w:rStyle w:val="normaltextrun"/>
          <w:rFonts w:ascii="Arial" w:hAnsi="Arial" w:cs="Arial"/>
          <w:lang w:val="es-ES"/>
        </w:rPr>
        <w:t>tmRNA</w:t>
      </w:r>
      <w:proofErr w:type="spellEnd"/>
      <w:r>
        <w:rPr>
          <w:rStyle w:val="normaltextrun"/>
          <w:rFonts w:ascii="Arial" w:hAnsi="Arial" w:cs="Arial"/>
          <w:lang w:val="es-ES"/>
        </w:rPr>
        <w:t>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368CA0ED" w14:textId="72712253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FDD65F1" wp14:editId="5C2E2C94">
            <wp:extent cx="5717540" cy="40620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i/>
          <w:iCs/>
          <w:lang w:val="es-ES"/>
        </w:rPr>
        <w:t>Figura 36. </w:t>
      </w:r>
      <w:r>
        <w:rPr>
          <w:rStyle w:val="normaltextrun"/>
          <w:rFonts w:ascii="Arial" w:hAnsi="Arial" w:cs="Arial"/>
          <w:lang w:val="es-ES"/>
        </w:rPr>
        <w:t>Tabla de genes anotados en </w:t>
      </w:r>
      <w:proofErr w:type="spellStart"/>
      <w:r>
        <w:rPr>
          <w:rStyle w:val="normaltextrun"/>
          <w:rFonts w:ascii="Arial" w:hAnsi="Arial" w:cs="Arial"/>
          <w:lang w:val="es-ES"/>
        </w:rPr>
        <w:t>Prokka</w:t>
      </w:r>
      <w:proofErr w:type="spellEnd"/>
      <w:r>
        <w:rPr>
          <w:rStyle w:val="normaltextrun"/>
          <w:rFonts w:ascii="Arial" w:hAnsi="Arial" w:cs="Arial"/>
          <w:lang w:val="es-ES"/>
        </w:rPr>
        <w:t> con información relacionada con la ubicación, tipo de elemento genético y función.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4C0663F0" w14:textId="0D3803EC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3B9C9031" wp14:editId="2C672D0D">
            <wp:extent cx="5264785" cy="38404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2C34BEBD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i/>
          <w:iCs/>
          <w:lang w:val="es-ES"/>
        </w:rPr>
        <w:t>Figura 37. Tabla generada por </w:t>
      </w:r>
      <w:proofErr w:type="spellStart"/>
      <w:r>
        <w:rPr>
          <w:rStyle w:val="normaltextrun"/>
          <w:rFonts w:ascii="Arial" w:hAnsi="Arial" w:cs="Arial"/>
          <w:i/>
          <w:iCs/>
          <w:lang w:val="es-ES"/>
        </w:rPr>
        <w:t>Prokka</w:t>
      </w:r>
      <w:proofErr w:type="spellEnd"/>
      <w:r>
        <w:rPr>
          <w:rStyle w:val="normaltextrun"/>
          <w:rFonts w:ascii="Arial" w:hAnsi="Arial" w:cs="Arial"/>
          <w:i/>
          <w:iCs/>
          <w:lang w:val="es-ES"/>
        </w:rPr>
        <w:t> de genes codificantes y posibles productos proteicos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7E86163F" w14:textId="587F535C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0546E25" wp14:editId="33F4FC49">
            <wp:extent cx="5245735" cy="37826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79107AED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i/>
          <w:iCs/>
          <w:lang w:val="es-ES"/>
        </w:rPr>
        <w:t>Figura 38</w:t>
      </w:r>
      <w:r>
        <w:rPr>
          <w:rStyle w:val="normaltextrun"/>
          <w:rFonts w:ascii="Arial" w:hAnsi="Arial" w:cs="Arial"/>
          <w:lang w:val="es-ES"/>
        </w:rPr>
        <w:t>. Anotación funcional de regiones genómicas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0848C2AC" w14:textId="2C392035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42122BED" wp14:editId="2979442C">
            <wp:extent cx="5245735" cy="32632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6A60FB9A" w14:textId="77777777" w:rsidR="00772EC3" w:rsidRDefault="00772EC3" w:rsidP="00772E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i/>
          <w:iCs/>
          <w:lang w:val="es-ES"/>
        </w:rPr>
        <w:t>Figura 39</w:t>
      </w:r>
      <w:r>
        <w:rPr>
          <w:rStyle w:val="normaltextrun"/>
          <w:rFonts w:ascii="Arial" w:hAnsi="Arial" w:cs="Arial"/>
          <w:lang w:val="es-ES"/>
        </w:rPr>
        <w:t>. Resultados finales de la anotación genómica realizados en </w:t>
      </w:r>
      <w:proofErr w:type="spellStart"/>
      <w:r>
        <w:rPr>
          <w:rStyle w:val="normaltextrun"/>
          <w:rFonts w:ascii="Arial" w:hAnsi="Arial" w:cs="Arial"/>
          <w:lang w:val="es-ES"/>
        </w:rPr>
        <w:t>Prokka</w:t>
      </w:r>
      <w:proofErr w:type="spellEnd"/>
      <w:r>
        <w:rPr>
          <w:rStyle w:val="normaltextrun"/>
          <w:rFonts w:ascii="Arial" w:hAnsi="Arial" w:cs="Arial"/>
          <w:lang w:val="es-ES"/>
        </w:rPr>
        <w:t>.</w:t>
      </w:r>
      <w:r>
        <w:rPr>
          <w:rStyle w:val="eop"/>
          <w:rFonts w:ascii="Arial" w:hAnsi="Arial" w:cs="Arial"/>
          <w:bdr w:val="none" w:sz="0" w:space="0" w:color="auto" w:frame="1"/>
          <w:shd w:val="clear" w:color="auto" w:fill="606060"/>
          <w:lang w:val="es-ES"/>
        </w:rPr>
        <w:t> </w:t>
      </w:r>
    </w:p>
    <w:p w14:paraId="1B939437" w14:textId="15AB640A" w:rsidR="003E5D52" w:rsidRPr="00772EC3" w:rsidRDefault="003E5D52">
      <w:pPr>
        <w:rPr>
          <w:lang w:val="es-ES"/>
        </w:rPr>
      </w:pPr>
    </w:p>
    <w:sectPr w:rsidR="003E5D52" w:rsidRPr="00772EC3" w:rsidSect="00205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C3"/>
    <w:rsid w:val="002051F5"/>
    <w:rsid w:val="003E5D52"/>
    <w:rsid w:val="0077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F3F9"/>
  <w15:chartTrackingRefBased/>
  <w15:docId w15:val="{D390B2F8-B6C2-4CB2-89B4-6EB67E8C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72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772EC3"/>
  </w:style>
  <w:style w:type="character" w:customStyle="1" w:styleId="eop">
    <w:name w:val="eop"/>
    <w:basedOn w:val="Fuentedeprrafopredeter"/>
    <w:rsid w:val="00772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226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1</cp:revision>
  <dcterms:created xsi:type="dcterms:W3CDTF">2026-05-14T18:34:00Z</dcterms:created>
  <dcterms:modified xsi:type="dcterms:W3CDTF">2026-05-14T18:41:00Z</dcterms:modified>
</cp:coreProperties>
</file>