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 w:val="false"/>
        <w:spacing w:after="7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34"/>
          <w:szCs w:val="34"/>
        </w:rPr>
        <w:t xml:space="preserve">Informe de pruebas funcionales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2"/>
          <w:szCs w:val="22"/>
        </w:rPr>
        <w:t xml:space="preserve">Ventas y reporte por categoría · PharmaSoft (Frontend Angular + PharmaBackend)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Estudiante: Gerard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Universidad: Universidad Peruana Unión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Curso: Lenguaje de Programación II · Sesión 9 (actividad autónoma)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Fecha: 11 de octubre de 2026</w:t>
      </w:r>
    </w:p>
    <w:p>
      <w:pPr>
        <w:keepNext w:val="false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Entorno: Frontend de ventas en http://127.0.0.1:4300 · reportes en http://127.0.0.1:4200 · API local :8081</w:t>
      </w:r>
    </w:p>
    <w:p>
      <w:pPr>
        <w:pStyle w:val="Heading1"/>
        <w:keepNext w:val="false"/>
        <w:spacing w:after="4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1. Objetivo</w:t>
      </w:r>
    </w:p>
    <w:p>
      <w:pPr>
        <w:keepNext w:val="false"/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20"/>
          <w:szCs w:val="20"/>
        </w:rPr>
        <w:t xml:space="preserve">Verificar el flujo de venta y el reporte de ventas por categoría de PharmaSoft mediante 21 casos: búsqueda de clientes y productos, cálculos, validaciones, confirmación, consistencia del inventario, respuestas del backend e informes filtrados por fecha.</w:t>
      </w:r>
    </w:p>
    <w:p>
      <w:pPr>
        <w:pStyle w:val="Heading1"/>
        <w:keepNext w:val="false"/>
        <w:spacing w:after="4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2. Resumen de resultados</w:t>
      </w:r>
    </w:p>
    <w:p>
      <w:pPr>
        <w:keepNext w:val="false"/>
        <w:spacing w:after="5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20"/>
          <w:szCs w:val="20"/>
        </w:rPr>
        <w:t xml:space="preserve">Se ejecutaron 21 casos: 18 verificados, 2 con hallazgos y 1 incompleto. La tasa de casos conformes es 85.7%. La matriz detallada se entrega por separado en docs/matriz-pruebas-s9.xlsx.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150"/>
        <w:gridCol w:w="1250"/>
        <w:gridCol w:w="2360"/>
      </w:tblGrid>
      <w:tr>
        <w:trPr>
          <w:cantSplit/>
          <w:tblHeader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Casos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Pasan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Hallazgos / pendientes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Buscadores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2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Cálculos y registro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4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Validaciones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5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4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Confirmación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2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Mensajes del backend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Impresión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0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Consistencia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Reporte por categoría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4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TOTAL</w:t>
            </w:r>
          </w:p>
        </w:tc>
        <w:tc>
          <w:tcPr>
            <w:tcW w:type="dxa" w:w="11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21</w:t>
            </w:r>
          </w:p>
        </w:tc>
        <w:tc>
          <w:tcPr>
            <w:tcW w:type="dxa" w:w="125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18</w:t>
            </w:r>
          </w:p>
        </w:tc>
        <w:tc>
          <w:tcPr>
            <w:tcW w:type="dxa" w:w="23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5"/>
                <w:szCs w:val="15"/>
              </w:rPr>
              <w:t xml:space="preserve">3</w:t>
            </w:r>
          </w:p>
        </w:tc>
      </w:tr>
    </w:tbl>
    <w:p>
      <w:pPr>
        <w:keepNext w:val="false"/>
        <w:spacing w:after="60" w:before="70" w:line="260"/>
        <w:jc w:val="left"/>
      </w:pPr>
      <w:r>
        <w:rPr>
          <w:rFonts w:ascii="Arial" w:cs="Arial" w:eastAsia="Arial" w:hAnsi="Arial"/>
          <w:b w:val="false"/>
          <w:bCs w:val="false"/>
          <w:color w:val="536579"/>
          <w:sz w:val="18"/>
          <w:szCs w:val="18"/>
        </w:rPr>
        <w:t xml:space="preserve">Las pruebas se realizaron contra el frontend y una base local de prueba. Los datos son ficticios y los resultados no representan producción. El defecto M-01 corresponde al backend, cuyo código no está incluido en este workspace.</w:t>
      </w:r>
    </w:p>
    <w:p>
      <w:pPr>
        <w:pStyle w:val="Heading1"/>
        <w:keepNext w:val="false"/>
        <w:pageBreakBefore/>
        <w:spacing w:after="5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3. Matriz de pruebas</w:t>
      </w:r>
    </w:p>
    <w:p>
      <w:pPr>
        <w:keepNext w:val="false"/>
        <w:spacing w:after="5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La tabla resume la acción ejecutada, el comportamiento esperado y el estado observado. “Hallazgo” indica que el resultado real difiere de la regla de consistencia esperada; “Incompleto” significa que falta evidencia requerida.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980"/>
        <w:gridCol w:w="4430"/>
        <w:gridCol w:w="1190"/>
      </w:tblGrid>
      <w:tr>
        <w:trPr>
          <w:cantSplit/>
          <w:tblHeader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N.º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Acción realizada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173E63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B-01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Buscar cliente inactivo y cliente por nombre sin tilde.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El inactivo no aparece; la persona activa se encuentra.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B-02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Buscar producto por categoría y agregarlo con Enter.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muestran coincidencias y se agrega el primer producto.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Calcular 3 unidades a S/12.50.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Subtotal y total estimado: S/37.50.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C-02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Calcular 3 unidades a S/18.90.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Total exacto: S/56.70.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C-03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Quitar una línea y recalcular el carrito.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recalcula correctamente a S/59.20.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C-04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Registrar 3 unidades desde la SPA.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HTTP 201; servidor confirma S/56.70 y descuenta stock.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Revisar venta sin cliente ni productos.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muestran errores y no se confirma.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V-02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Ingresar cantidad 0 y decimal 2.5.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Solo se permiten enteros mayores que cero.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V-03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Solicitar cantidad mayor al stock disponible.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avisa el stock insuficiente y no se confirma.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V-04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Agregar dos veces el mismo producto en la SPA.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Una línea de detalle incrementa su cantidad.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V-05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Enviar el mismo producto en dos líneas por API.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API consolida las líneas o las rechaza explícitamente.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Hallazgo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F-01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Volver desde el resumen de confirmación.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cierra el resumen sin enviar POST.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F-02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Disparar dos veces la confirmación mientras carga.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Botón deshabilitado; se envía una sola petición.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M-01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Enviar simultáneamente dos ventas de 2 con stock 2.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Una se registra y la otra se rechaza; stock consistente.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Hallazgo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M-02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Registrar una venta para un cliente inactivo.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HTTP 409 con mensaje claro del backend.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I-01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Imprimir comprobante y verificar venta anulada.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PDF de venta, anulación y consulta guardados como evidencia.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Incompleto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X-01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Comparar el stock y el detalle de la venta registrada.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Stock disminuye y consulta conserva importe y unidades.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R-01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Abrir el reporte histórico por categoría.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Totales del reporte coinciden con ventas agregadas.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R-02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Filtrar por periodo y enviar solo fecha inicial.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HTTP 200; se envían solo los filtros con valor.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R-03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Ingresar un rango de fechas invertido.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informa el error y no se consulta la API.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4F7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R-04</w:t>
            </w:r>
          </w:p>
        </w:tc>
        <w:tc>
          <w:tcPr>
            <w:tcW w:type="dxa" w:w="298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Consultar un periodo sin ventas.</w:t>
            </w:r>
          </w:p>
        </w:tc>
        <w:tc>
          <w:tcPr>
            <w:tcW w:type="dxa" w:w="443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Se muestra el estado vacío sin tabla ni totales.</w:t>
            </w:r>
          </w:p>
        </w:tc>
        <w:tc>
          <w:tcPr>
            <w:tcW w:type="dxa" w:w="1190"/>
            <w:tcBorders>
              <w:top w:val="single" w:color="CFD9E2" w:sz="3"/>
              <w:left w:val="single" w:color="CFD9E2" w:sz="3"/>
              <w:bottom w:val="single" w:color="CFD9E2" w:sz="3"/>
              <w:right w:val="single" w:color="CFD9E2" w:sz="3"/>
            </w:tcBorders>
            <w:shd w:fill="FFFFF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3447"/>
                <w:sz w:val="14"/>
                <w:szCs w:val="14"/>
              </w:rPr>
              <w:t xml:space="preserve">Verificado</w:t>
            </w:r>
          </w:p>
        </w:tc>
      </w:tr>
    </w:tbl>
    <w:p>
      <w:pPr>
        <w:pStyle w:val="Heading1"/>
        <w:keepNext w:val="false"/>
        <w:pageBreakBefore/>
        <w:spacing w:after="4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4. Resultados detallados</w:t>
      </w:r>
    </w:p>
    <w:p>
      <w:pPr>
        <w:pStyle w:val="Heading2"/>
        <w:keepNext w:val="false"/>
        <w:spacing w:after="3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3"/>
          <w:szCs w:val="23"/>
        </w:rPr>
        <w:t xml:space="preserve">4.1 Venta desde la aplicación</w:t>
      </w:r>
    </w:p>
    <w:p>
      <w:pPr>
        <w:keepNext w:val="false"/>
        <w:spacing w:after="50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B-01 y B-02 confirmaron la búsqueda de cliente y producto. C-01, C-02 y C-03 verificaron los importes S/37.50, S/56.70 y S/59.20. V-01 a V-04 y F-01 pasaron: la SPA muestra validaciones, bloquea cantidades inválidas o mayores al stock, agrupa productos repetidos en la interfaz y permite volver desde la confirmación sin POST.</w:t>
      </w:r>
    </w:p>
    <w:p>
      <w:pPr>
        <w:keepNext w:val="false"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0"/>
          <w:szCs w:val="20"/>
        </w:rPr>
        <w:t xml:space="preserve">C-04 · Registro y consistencia de importe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Esperado: una venta de 3 unidades a S/18.90, con total validado por el servidor y descuento de inventario.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Obtenido: HTTP 201, venta #3 por S/56.70 y stock del producto 7 de 20 a 17. La consulta de ventas mostró las mismas unidades e importe (X-01).</w:t>
      </w:r>
    </w:p>
    <w:p>
      <w:pPr>
        <w:keepNext w:val="false"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0"/>
          <w:szCs w:val="20"/>
        </w:rPr>
        <w:t xml:space="preserve">F-02 · Protección del botón de confirmación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Al retrasar e interceptar el POST para aislar la interfaz, el botón mostró “Registrando…” y quedó deshabilitado; un segundo evento no generó otra petición. El POST se interceptó deliberadamente, por lo que esta evidencia comprueba el control de la SPA, no una segunda venta persistida.</w:t>
      </w:r>
    </w:p>
    <w:p>
      <w:pPr>
        <w:pStyle w:val="Heading2"/>
        <w:keepNext w:val="false"/>
        <w:spacing w:after="3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3"/>
          <w:szCs w:val="23"/>
        </w:rPr>
        <w:t xml:space="preserve">4.2 Respuestas del backend y hallazgos</w:t>
      </w:r>
    </w:p>
    <w:p>
      <w:pPr>
        <w:keepNext w:val="false"/>
        <w:spacing w:after="2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0"/>
          <w:szCs w:val="20"/>
        </w:rPr>
        <w:t xml:space="preserve">C2. Hallazgos</w:t>
      </w:r>
    </w:p>
    <w:p>
      <w:pPr>
        <w:keepNext w:val="false"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A52D22"/>
          <w:sz w:val="20"/>
          <w:szCs w:val="20"/>
        </w:rPr>
        <w:t xml:space="preserve">M-01 · Alta · concurrencia de stock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Resultado esperado: Con stock inicial 2, dos solicitudes simultáneas de 2 unidades deben producir una venta exitosa y un rechazo HTTP 409.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Resultado obtenido: Ambas solicitudes recibieron HTTP 201 (ventas #5 y #6). Se vendieron 4 unidades con solo 2 disponibles; el stock reportado quedó en 0.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Causa probable: La validación y el descuento de stock no parecen ser atómicos en el backend. El código del backend no forma parte de este workspace, así que no se atribuye a un método específico.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Acción recomendada: Hacer la verificación y el descuento dentro de una transacción con bloqueo de producto o una actualización condicional de stock. La solicitud que no alcance stock debe responder 409.</w:t>
      </w:r>
    </w:p>
    <w:p>
      <w:pPr>
        <w:keepNext w:val="false"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7B4B10"/>
          <w:sz w:val="20"/>
          <w:szCs w:val="20"/>
        </w:rPr>
        <w:t xml:space="preserve">V-05 · Consistencia del detalle duplicado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Resultado esperado: La API debería consolidar productos repetidos antes de validar/persistir, o rechazarlos explícitamente, en coherencia con la SPA.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Resultado obtenido: La API aceptó dos líneas para el producto 8: HTTP 201, venta #4 y total S/25.00. La SPA, en cambio, agrupa el producto en una sola línea.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Causa probable: La regla de unicidad/normalización no se aplica en el endpoint de ventas.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Acción recomendada: Definir una regla única en el servicio backend, consolidar o rechazar duplicados y validar el stock sobre la cantidad total.</w:t>
      </w:r>
    </w:p>
    <w:p>
      <w:pPr>
        <w:keepNext w:val="false"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7B4B10"/>
          <w:sz w:val="20"/>
          <w:szCs w:val="20"/>
        </w:rPr>
        <w:t xml:space="preserve">I-01 · Incompleto · impresión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Resultado esperado: Guardar PDF de venta registrada, venta anulada y consulta; confirmar que el DNI y el pie aparezcan al imprimir.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Resultado obtenido: Se verificó la vista de impresión del comprobante registrado: los controles se ocultan y DNI y pie son visibles. No se guardaron los PDF y no se localizó operación de anulación en el OpenAPI disponible.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Causa probable: Falta evidencia exportada y una operación/flujo de anulación disponible para completar la prueba.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Acción recomendada: Antes de la entrega, guardar los tres PDF desde el navegador y ejecutar la verificación de una venta anulada cuando el backend ofrezca ese flujo.</w:t>
      </w:r>
    </w:p>
    <w:p>
      <w:pPr>
        <w:keepNext w:val="false"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0"/>
          <w:szCs w:val="20"/>
        </w:rPr>
        <w:t xml:space="preserve">M-02 · Cliente inactivo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El backend rechazó el POST con HTTP 409 y el mensaje “No se puede registrar una venta para un cliente inactivo”, como se esperaba.</w:t>
      </w:r>
    </w:p>
    <w:p>
      <w:pPr>
        <w:pStyle w:val="Heading2"/>
        <w:keepNext w:val="false"/>
        <w:spacing w:after="3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3"/>
          <w:szCs w:val="23"/>
        </w:rPr>
        <w:t xml:space="preserve">4.3 Reporte de ventas por categoría</w:t>
      </w:r>
    </w:p>
    <w:p>
      <w:pPr>
        <w:keepNext w:val="false"/>
        <w:spacing w:after="5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R-01 devolvió 16 unidades y S/106.00: Analgésicos 10/S/75.45, Antialérgicos 3/S/26.80 y Vitaminas 3/S/3.75. R-02 comprobó el filtro y el envío aislado del parámetro desde. R-03 validó el rango invertido sin una nueva petición y R-04 mostró el estado vacío.</w:t>
      </w:r>
    </w:p>
    <w:p>
      <w:pPr>
        <w:pStyle w:val="Heading1"/>
        <w:keepNext w:val="false"/>
        <w:pageBreakBefore/>
        <w:spacing w:after="4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5. C3. Preguntas de análisis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9"/>
          <w:szCs w:val="19"/>
        </w:rPr>
        <w:t xml:space="preserve">1. ¿Por qué el total de la SPA es estimado? ¿Qué riesgo habría si el backend aceptara el total enviado?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La interfaz calcula un importe orientativo con los precios que conoce en ese momento. El precio y el stock pueden cambiar y el navegador no es confiable. El backend debe recalcular usando datos persistidos; aceptar el total del navegador permitiría alterar precios, importes o descuentos desde un cliente modificado.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9"/>
          <w:szCs w:val="19"/>
        </w:rPr>
        <w:t xml:space="preserve">2. Para V-05, ¿debería la API aceptar el mismo producto dos veces?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La SPA incrementa la cantidad de la línea existente, por lo que es más consistente que el backend consolide los productos repetidos o los rechace con un error claro. También debe validar el stock contra la cantidad agregada.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9"/>
          <w:szCs w:val="19"/>
        </w:rPr>
        <w:t xml:space="preserve">3. ¿Qué mejora aplicaría después del HTTP 409 de M-01?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Conservar cliente y detalle, presentar el stock actualizado junto al producto y enfocar la cantidad que debe corregirse. Así se permite corregir y reintentar sin reconstruir la venta, manteniendo al backend como autoridad de inventario.</w:t>
      </w:r>
    </w:p>
    <w:p>
      <w:pPr>
        <w:keepNext w:val="false"/>
        <w:spacing w:after="1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9"/>
          <w:szCs w:val="19"/>
        </w:rPr>
        <w:t xml:space="preserve">4. ¿Por qué el reporte puede no paginar mientras la consulta de ventas sí?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8"/>
          <w:szCs w:val="18"/>
        </w:rPr>
        <w:t xml:space="preserve">El reporte devuelve una fila agregada por categoría para el periodo elegido, un conjunto acotado. La consulta de ventas muestra operaciones individuales y su volumen crece continuamente; por eso requiere paginación y filtros para reducir transferencia, tiempo de carga y trabajo del usuario.</w:t>
      </w:r>
    </w:p>
    <w:p>
      <w:pPr>
        <w:pStyle w:val="Heading1"/>
        <w:keepNext w:val="false"/>
        <w:spacing w:after="4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6. Conclusiones</w:t>
      </w:r>
    </w:p>
    <w:p>
      <w:pPr>
        <w:keepNext w:val="false"/>
        <w:spacing w:after="40" w:before="0" w:line="260"/>
        <w:jc w:val="left"/>
      </w:pPr>
      <w:r>
        <w:rPr>
          <w:rFonts w:ascii="Arial" w:cs="Arial" w:eastAsia="Arial" w:hAnsi="Arial"/>
          <w:b w:val="false"/>
          <w:bCs w:val="false"/>
          <w:color w:val="243447"/>
          <w:sz w:val="19"/>
          <w:szCs w:val="19"/>
        </w:rPr>
        <w:t xml:space="preserve">La interfaz validó correctamente las búsquedas, los cálculos, los errores de formulario, el límite de stock y la confirmación. El reporte por categoría entregó resultados coherentes con la consulta histórica y respondió adecuadamente a rangos y periodos vacíos. La revisión de API detectó dos discrepancias que requieren atención del backend: la concurrencia de stock (M-01) y las líneas duplicadas (V-05). La prueba I-01 permanece incompleta hasta guardar los PDF y validar una venta anulada.</w:t>
      </w:r>
    </w:p>
    <w:p>
      <w:pPr>
        <w:keepNext w:val="false"/>
        <w:spacing w:after="30" w:before="0" w:line="260"/>
        <w:jc w:val="left"/>
      </w:pPr>
      <w:r>
        <w:rPr>
          <w:rFonts w:ascii="Arial" w:cs="Arial" w:eastAsia="Arial" w:hAnsi="Arial"/>
          <w:b w:val="false"/>
          <w:bCs w:val="false"/>
          <w:color w:val="536579"/>
          <w:sz w:val="18"/>
          <w:szCs w:val="18"/>
        </w:rPr>
        <w:t xml:space="preserve">Evidencia complementaria: docs/matriz-pruebas-s9.xlsx, docs/evidencias/api-casos-s9.json y postman/PharmaSoft-S9-Ventas.json.</w:t>
      </w:r>
    </w:p>
    <w:p>
      <w:pPr>
        <w:pStyle w:val="Heading1"/>
        <w:keepNext w:val="false"/>
        <w:pageBreakBefore/>
        <w:spacing w:after="35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28"/>
          <w:szCs w:val="28"/>
        </w:rPr>
        <w:t xml:space="preserve">7. Evidencias de pantalla completa</w:t>
      </w:r>
    </w:p>
    <w:p>
      <w:pPr>
        <w:keepNext w:val="false"/>
        <w:spacing w:after="45" w:before="0" w:line="260"/>
        <w:jc w:val="left"/>
      </w:pPr>
      <w:r>
        <w:rPr>
          <w:rFonts w:ascii="Arial" w:cs="Arial" w:eastAsia="Arial" w:hAnsi="Arial"/>
          <w:b w:val="false"/>
          <w:bCs w:val="false"/>
          <w:color w:val="536579"/>
          <w:sz w:val="18"/>
          <w:szCs w:val="18"/>
        </w:rPr>
        <w:t xml:space="preserve">Cada captura conserva la ventana completa de la aplicación. Cuando una pantalla requiere desplazamiento, se incluyen vistas consecutivas superior/inferior; para las tablas anchas se añade la vista desplazada horizontalmente.</w:t>
      </w:r>
    </w:p>
    <w:p>
      <w:pPr>
        <w:keepNext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8"/>
          <w:szCs w:val="18"/>
        </w:rPr>
        <w:t xml:space="preserve">Captura 1. Reporte por categoría: pantalla superior, totales históricos.</w:t>
      </w:r>
    </w:p>
    <w:p>
      <w:pPr>
        <w:spacing w:after="65" w:before="30"/>
        <w:jc w:val="center"/>
      </w:pPr>
      <w:r>
        <w:drawing>
          <wp:inline distT="0" distB="0" distL="0" distR="0">
            <wp:extent cx="5334000" cy="638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8"/>
          <w:szCs w:val="18"/>
        </w:rPr>
        <w:t xml:space="preserve">Captura 2. Reporte por categoría: pantalla inferior y tabla (columnas iniciales).</w:t>
      </w:r>
    </w:p>
    <w:p>
      <w:pPr>
        <w:spacing w:after="65" w:before="30"/>
        <w:jc w:val="center"/>
      </w:pPr>
      <w:r>
        <w:drawing>
          <wp:inline distT="0" distB="0" distL="0" distR="0">
            <wp:extent cx="5334000" cy="6381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8"/>
          <w:szCs w:val="18"/>
        </w:rPr>
        <w:t xml:space="preserve">Captura 3. Reporte por categoría: tabla desplazada a las columnas de importes y comparación.</w:t>
      </w:r>
    </w:p>
    <w:p>
      <w:pPr>
        <w:spacing w:after="65" w:before="30"/>
        <w:jc w:val="center"/>
      </w:pPr>
      <w:r>
        <w:drawing>
          <wp:inline distT="0" distB="0" distL="0" distR="0">
            <wp:extent cx="5334000" cy="6381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8"/>
          <w:szCs w:val="18"/>
        </w:rPr>
        <w:t xml:space="preserve">Captura 4. Nueva venta: pantalla superior con cliente seleccionado.</w:t>
      </w:r>
    </w:p>
    <w:p>
      <w:pPr>
        <w:spacing w:after="65" w:before="30"/>
        <w:jc w:val="center"/>
      </w:pPr>
      <w:r>
        <w:drawing>
          <wp:inline distT="0" distB="0" distL="0" distR="0">
            <wp:extent cx="5334000" cy="40576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8"/>
          <w:szCs w:val="18"/>
        </w:rPr>
        <w:t xml:space="preserve">Captura 5. Nueva venta: pantalla inferior y detalle (columnas iniciales).</w:t>
      </w:r>
    </w:p>
    <w:p>
      <w:pPr>
        <w:spacing w:after="65" w:before="30"/>
        <w:jc w:val="center"/>
      </w:pPr>
      <w:r>
        <w:drawing>
          <wp:inline distT="0" distB="0" distL="0" distR="0">
            <wp:extent cx="5334000" cy="4057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 w:line="260"/>
        <w:jc w:val="left"/>
      </w:pPr>
      <w:r>
        <w:rPr>
          <w:rFonts w:ascii="Arial" w:cs="Arial" w:eastAsia="Arial" w:hAnsi="Arial"/>
          <w:b/>
          <w:bCs/>
          <w:color w:val="173E63"/>
          <w:sz w:val="18"/>
          <w:szCs w:val="18"/>
        </w:rPr>
        <w:t xml:space="preserve">Captura 6. Nueva venta: detalle desplazado a cantidad y subtotal.</w:t>
      </w:r>
    </w:p>
    <w:p>
      <w:pPr>
        <w:spacing w:after="65" w:before="30"/>
        <w:jc w:val="center"/>
      </w:pPr>
      <w:r>
        <w:drawing>
          <wp:inline distT="0" distB="0" distL="0" distR="0">
            <wp:extent cx="5334000" cy="40576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447"/>
        <w:sz w:val="20"/>
        <w:szCs w:val="20"/>
      </w:rPr>
    </w:rPrDefault>
    <w:pPrDefault>
      <w:pPr>
        <w:spacing w:after="90" w:line="2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color w:val="173E63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70" w:before="150"/>
    </w:pPr>
    <w:rPr>
      <w:rFonts w:ascii="Arial" w:cs="Arial" w:eastAsia="Arial" w:hAnsi="Arial"/>
      <w:b/>
      <w:bCs/>
      <w:color w:val="173E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50" w:before="100"/>
    </w:pPr>
    <w:rPr>
      <w:rFonts w:ascii="Arial" w:cs="Arial" w:eastAsia="Arial" w:hAnsi="Arial"/>
      <w:b/>
      <w:bCs/>
      <w:color w:val="173E6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517c6cc30aaf159dce782aec8abb4275598a983.png"/><Relationship Id="rId8" Type="http://schemas.openxmlformats.org/officeDocument/2006/relationships/image" Target="media/1314f8335c43ffd17c1e2d61565620a605528a64.png"/><Relationship Id="rId9" Type="http://schemas.openxmlformats.org/officeDocument/2006/relationships/image" Target="media/c4c5fcfbd6d8fa5b210c7efb0de2d279e0a7fe67.png"/><Relationship Id="rId10" Type="http://schemas.openxmlformats.org/officeDocument/2006/relationships/image" Target="media/d6918aa24bab656dc0ab5918c5875c737348d1a0.png"/><Relationship Id="rId11" Type="http://schemas.openxmlformats.org/officeDocument/2006/relationships/image" Target="media/4a2734e8eaf1fc3dd799d92b96bdf4fd8750fac0.png"/><Relationship Id="rId12" Type="http://schemas.openxmlformats.org/officeDocument/2006/relationships/image" Target="media/9c685c82e170f6884b4bd8fe8b982e41930d346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funcionales - Ventas y reporte por categoría - Sesión 9</dc:title>
  <dc:subject>Actividad autónoma de Lenguaje de Programación II</dc:subject>
  <dc:creator>PharmaSoft</dc:creator>
  <cp:lastModifiedBy>Un-named</cp:lastModifiedBy>
  <cp:revision>1</cp:revision>
  <dcterms:created xsi:type="dcterms:W3CDTF">2026-10-12T00:48:57.286Z</dcterms:created>
  <dcterms:modified xsi:type="dcterms:W3CDTF">2026-10-12T00:48:57.286Z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