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8102" w14:textId="77777777" w:rsidR="00F12E3D" w:rsidRPr="00F12E3D" w:rsidRDefault="00F12E3D" w:rsidP="00F12E3D">
      <w:pPr>
        <w:jc w:val="both"/>
        <w:rPr>
          <w:rFonts w:ascii="Times New Roman" w:hAnsi="Times New Roman" w:cs="Times New Roman"/>
          <w:b/>
          <w:bCs/>
          <w:sz w:val="22"/>
          <w:szCs w:val="22"/>
        </w:rPr>
      </w:pPr>
      <w:r w:rsidRPr="00F12E3D">
        <w:rPr>
          <w:rFonts w:ascii="Times New Roman" w:hAnsi="Times New Roman" w:cs="Times New Roman"/>
          <w:b/>
          <w:bCs/>
          <w:sz w:val="22"/>
          <w:szCs w:val="22"/>
        </w:rPr>
        <w:t>Integrating Low-Cost Adaptive Nutrient Control with Time-Series Modeling to Improve Growth Prediction and Resource Efficiency in Indoor and Greenhouse Lettuce Production</w:t>
      </w:r>
    </w:p>
    <w:p w14:paraId="3B5EA223" w14:textId="77777777" w:rsidR="00F12E3D" w:rsidRPr="00F12E3D" w:rsidRDefault="00F12E3D" w:rsidP="00F12E3D">
      <w:pPr>
        <w:jc w:val="both"/>
        <w:rPr>
          <w:rFonts w:ascii="Times New Roman" w:hAnsi="Times New Roman" w:cs="Times New Roman"/>
          <w:sz w:val="22"/>
          <w:szCs w:val="22"/>
        </w:rPr>
      </w:pPr>
    </w:p>
    <w:p w14:paraId="4F178E42" w14:textId="75885FD9" w:rsidR="00F12E3D" w:rsidRPr="00F12E3D" w:rsidRDefault="00F12E3D" w:rsidP="00F12E3D">
      <w:pPr>
        <w:jc w:val="both"/>
        <w:rPr>
          <w:rFonts w:ascii="Times New Roman" w:hAnsi="Times New Roman" w:cs="Times New Roman"/>
          <w:sz w:val="22"/>
          <w:szCs w:val="22"/>
        </w:rPr>
      </w:pPr>
      <w:r w:rsidRPr="005A73FB">
        <w:rPr>
          <w:rFonts w:ascii="Times New Roman" w:hAnsi="Times New Roman" w:cs="Times New Roman"/>
          <w:sz w:val="22"/>
          <w:szCs w:val="22"/>
          <w:highlight w:val="yellow"/>
        </w:rPr>
        <w:t>Precision management of nutrient solution chemistry and canopy microclimate is central to improving biomass accumulation, nutrient use efficiency, and energy performance in controlled environment agriculture (CEA).</w:t>
      </w:r>
      <w:r w:rsidRPr="00F12E3D">
        <w:rPr>
          <w:rFonts w:ascii="Times New Roman" w:hAnsi="Times New Roman" w:cs="Times New Roman"/>
          <w:sz w:val="22"/>
          <w:szCs w:val="22"/>
        </w:rPr>
        <w:t xml:space="preserve"> However, commercial automation platforms remain capital-intensive, and few studies integrate low-cost environmental control with short-term physiological modeling of biomass response. Furthermore, greenhouse research often relies on cumulative daily metrics (e.g., </w:t>
      </w:r>
      <w:r>
        <w:rPr>
          <w:rFonts w:ascii="Times New Roman" w:hAnsi="Times New Roman" w:cs="Times New Roman"/>
          <w:sz w:val="22"/>
          <w:szCs w:val="22"/>
        </w:rPr>
        <w:t xml:space="preserve">daily light integral, </w:t>
      </w:r>
      <w:r w:rsidRPr="00F12E3D">
        <w:rPr>
          <w:rFonts w:ascii="Times New Roman" w:hAnsi="Times New Roman" w:cs="Times New Roman"/>
          <w:sz w:val="22"/>
          <w:szCs w:val="22"/>
        </w:rPr>
        <w:t>DLI) rather than lag-based analysis of incremental growth drivers. This study addresses these gaps by integrating open-source automation, adaptive electrical conductivity (EC) steering, and time-series regression modeling to quantify short-term environmental effects on hydroponic lettuce (Lactuca sativa L.) growth.</w:t>
      </w:r>
    </w:p>
    <w:p w14:paraId="55B94C9F" w14:textId="77777777" w:rsidR="00F12E3D" w:rsidRPr="00F12E3D" w:rsidRDefault="00F12E3D" w:rsidP="00F12E3D">
      <w:pPr>
        <w:jc w:val="both"/>
        <w:rPr>
          <w:rFonts w:ascii="Times New Roman" w:hAnsi="Times New Roman" w:cs="Times New Roman"/>
          <w:sz w:val="22"/>
          <w:szCs w:val="22"/>
        </w:rPr>
      </w:pPr>
      <w:r w:rsidRPr="005A73FB">
        <w:rPr>
          <w:rFonts w:ascii="Times New Roman" w:hAnsi="Times New Roman" w:cs="Times New Roman"/>
          <w:sz w:val="22"/>
          <w:szCs w:val="22"/>
          <w:highlight w:val="yellow"/>
        </w:rPr>
        <w:t>A Raspberry Pi–based automation syste</w:t>
      </w:r>
      <w:r w:rsidRPr="00F12E3D">
        <w:rPr>
          <w:rFonts w:ascii="Times New Roman" w:hAnsi="Times New Roman" w:cs="Times New Roman"/>
          <w:sz w:val="22"/>
          <w:szCs w:val="22"/>
        </w:rPr>
        <w:t xml:space="preserve">m was developed to monitor air temperature, relative humidity, vapor pressure deficit (VPD), carbon dioxide, solution EC, pH, reservoir volume, and actuator duty cycles (lighting, AC, humidifier, exhaust, heater, nutrient dosing) at one-minute resolution in an indoor nutrient film technique system. </w:t>
      </w:r>
      <w:r w:rsidRPr="005A73FB">
        <w:rPr>
          <w:rFonts w:ascii="Times New Roman" w:hAnsi="Times New Roman" w:cs="Times New Roman"/>
          <w:sz w:val="22"/>
          <w:szCs w:val="22"/>
          <w:highlight w:val="yellow"/>
        </w:rPr>
        <w:t>EC was incrementally adjusted throughout a 28-day production cycle based on median fresh weight checkpoints aligned with a 227 g Gompertz growth target.</w:t>
      </w:r>
    </w:p>
    <w:p w14:paraId="40BD5703" w14:textId="18613FCF" w:rsidR="00F12E3D" w:rsidRPr="00F12E3D" w:rsidRDefault="00F12E3D" w:rsidP="00F12E3D">
      <w:pPr>
        <w:jc w:val="both"/>
        <w:rPr>
          <w:rFonts w:ascii="Times New Roman" w:hAnsi="Times New Roman" w:cs="Times New Roman"/>
          <w:sz w:val="22"/>
          <w:szCs w:val="22"/>
        </w:rPr>
      </w:pPr>
      <w:r w:rsidRPr="00F12E3D">
        <w:rPr>
          <w:rFonts w:ascii="Times New Roman" w:hAnsi="Times New Roman" w:cs="Times New Roman"/>
          <w:sz w:val="22"/>
          <w:szCs w:val="22"/>
        </w:rPr>
        <w:t xml:space="preserve">The system achieved a final median fresh weight of approximately 220 g, representing 97% of the target biomass. Staged EC ramping (≈1.2 to &gt;2.0 mS cm⁻¹) coincided with the exponential growth phase, </w:t>
      </w:r>
      <w:r w:rsidR="001B2CB1">
        <w:rPr>
          <w:rFonts w:ascii="Times New Roman" w:hAnsi="Times New Roman" w:cs="Times New Roman"/>
          <w:sz w:val="22"/>
          <w:szCs w:val="22"/>
        </w:rPr>
        <w:t>representing</w:t>
      </w:r>
      <w:r w:rsidRPr="00F12E3D">
        <w:rPr>
          <w:rFonts w:ascii="Times New Roman" w:hAnsi="Times New Roman" w:cs="Times New Roman"/>
          <w:sz w:val="22"/>
          <w:szCs w:val="22"/>
        </w:rPr>
        <w:t xml:space="preserve"> dynamic nutrient strength alignment with increasing sink demand. Ordinary least squares regression identified </w:t>
      </w:r>
      <w:r w:rsidRPr="000912D3">
        <w:rPr>
          <w:rFonts w:ascii="Times New Roman" w:hAnsi="Times New Roman" w:cs="Times New Roman"/>
          <w:sz w:val="22"/>
          <w:szCs w:val="22"/>
          <w:highlight w:val="yellow"/>
        </w:rPr>
        <w:t>EC as a significant predictor of short-term change in fresh weight (R² = 0.756</w:t>
      </w:r>
      <w:r w:rsidR="001B2CB1" w:rsidRPr="000912D3">
        <w:rPr>
          <w:rFonts w:ascii="Times New Roman" w:hAnsi="Times New Roman" w:cs="Times New Roman"/>
          <w:sz w:val="22"/>
          <w:szCs w:val="22"/>
          <w:highlight w:val="yellow"/>
        </w:rPr>
        <w:t>;</w:t>
      </w:r>
      <w:r w:rsidRPr="000912D3">
        <w:rPr>
          <w:rFonts w:ascii="Times New Roman" w:hAnsi="Times New Roman" w:cs="Times New Roman"/>
          <w:sz w:val="22"/>
          <w:szCs w:val="22"/>
          <w:highlight w:val="yellow"/>
        </w:rPr>
        <w:t xml:space="preserve"> p = 0.005).</w:t>
      </w:r>
      <w:r w:rsidRPr="00F12E3D">
        <w:rPr>
          <w:rFonts w:ascii="Times New Roman" w:hAnsi="Times New Roman" w:cs="Times New Roman"/>
          <w:sz w:val="22"/>
          <w:szCs w:val="22"/>
        </w:rPr>
        <w:t xml:space="preserve"> Cross-correlation analysis demonstrated that EC exerted its strongest influence at lag 0–1 </w:t>
      </w:r>
      <w:proofErr w:type="gramStart"/>
      <w:r w:rsidRPr="00F12E3D">
        <w:rPr>
          <w:rFonts w:ascii="Times New Roman" w:hAnsi="Times New Roman" w:cs="Times New Roman"/>
          <w:sz w:val="22"/>
          <w:szCs w:val="22"/>
        </w:rPr>
        <w:t>days</w:t>
      </w:r>
      <w:proofErr w:type="gramEnd"/>
      <w:r w:rsidRPr="00F12E3D">
        <w:rPr>
          <w:rFonts w:ascii="Times New Roman" w:hAnsi="Times New Roman" w:cs="Times New Roman"/>
          <w:sz w:val="22"/>
          <w:szCs w:val="22"/>
        </w:rPr>
        <w:t xml:space="preserve">, indicating a rapid physiological response to nutrient concentration adjustments. </w:t>
      </w:r>
      <w:r w:rsidRPr="005A73FB">
        <w:rPr>
          <w:rFonts w:ascii="Times New Roman" w:hAnsi="Times New Roman" w:cs="Times New Roman"/>
          <w:sz w:val="22"/>
          <w:szCs w:val="22"/>
          <w:highlight w:val="yellow"/>
        </w:rPr>
        <w:t>Temperature exhibited moderate multi-day associations with biomass change, consistent with cumulative metabolic integration, while humidity and VPD displayed strong inverse collinearity (r ≈ −0.97), confirming VPD as a primary transpiration-linked driver.</w:t>
      </w:r>
    </w:p>
    <w:p w14:paraId="3ABFF378" w14:textId="77777777" w:rsidR="00F12E3D" w:rsidRPr="00F12E3D" w:rsidRDefault="00F12E3D" w:rsidP="00F12E3D">
      <w:pPr>
        <w:jc w:val="both"/>
        <w:rPr>
          <w:rFonts w:ascii="Times New Roman" w:hAnsi="Times New Roman" w:cs="Times New Roman"/>
          <w:sz w:val="22"/>
          <w:szCs w:val="22"/>
        </w:rPr>
      </w:pPr>
      <w:r w:rsidRPr="005A73FB">
        <w:rPr>
          <w:rFonts w:ascii="Times New Roman" w:hAnsi="Times New Roman" w:cs="Times New Roman"/>
          <w:sz w:val="22"/>
          <w:szCs w:val="22"/>
          <w:highlight w:val="yellow"/>
        </w:rPr>
        <w:t>Environmental and nutrient heatmaps revealed substantial multicollinearity among EC, total dissolved solids, and salinity, validating EC as a sufficient nutrient proxy for predictive modeling</w:t>
      </w:r>
      <w:r w:rsidRPr="00F12E3D">
        <w:rPr>
          <w:rFonts w:ascii="Times New Roman" w:hAnsi="Times New Roman" w:cs="Times New Roman"/>
          <w:sz w:val="22"/>
          <w:szCs w:val="22"/>
        </w:rPr>
        <w:t>. Mechanical system variables (reservoir volume and flow rate) showed delayed correlations with growth but reflected consumption dynamics rather than causal physiological drivers.</w:t>
      </w:r>
    </w:p>
    <w:p w14:paraId="70EC1337" w14:textId="77777777" w:rsidR="00F12E3D" w:rsidRPr="00F12E3D" w:rsidRDefault="00F12E3D" w:rsidP="00F12E3D">
      <w:pPr>
        <w:jc w:val="both"/>
        <w:rPr>
          <w:rFonts w:ascii="Times New Roman" w:hAnsi="Times New Roman" w:cs="Times New Roman"/>
          <w:sz w:val="22"/>
          <w:szCs w:val="22"/>
        </w:rPr>
      </w:pPr>
      <w:r w:rsidRPr="00F12E3D">
        <w:rPr>
          <w:rFonts w:ascii="Times New Roman" w:hAnsi="Times New Roman" w:cs="Times New Roman"/>
          <w:sz w:val="22"/>
          <w:szCs w:val="22"/>
        </w:rPr>
        <w:t>This work demonstrates that low-cost automation can maintain stable environmental control while enabling phase-specific nutrient steering and predictive growth modeling. Importantly, the lag-based framework moves beyond cumulative daily metrics by quantifying immediate and short-term drivers of incremental biomass accumulation.</w:t>
      </w:r>
    </w:p>
    <w:p w14:paraId="2BAA0FE8" w14:textId="77777777" w:rsidR="00F12E3D" w:rsidRPr="00F12E3D" w:rsidRDefault="00F12E3D" w:rsidP="00F12E3D">
      <w:pPr>
        <w:jc w:val="both"/>
        <w:rPr>
          <w:rFonts w:ascii="Times New Roman" w:hAnsi="Times New Roman" w:cs="Times New Roman"/>
          <w:sz w:val="22"/>
          <w:szCs w:val="22"/>
        </w:rPr>
      </w:pPr>
      <w:r w:rsidRPr="00F12E3D">
        <w:rPr>
          <w:rFonts w:ascii="Times New Roman" w:hAnsi="Times New Roman" w:cs="Times New Roman"/>
          <w:sz w:val="22"/>
          <w:szCs w:val="22"/>
        </w:rPr>
        <w:t xml:space="preserve">Implications extend directly to greenhouse production systems. </w:t>
      </w:r>
      <w:r w:rsidRPr="005A73FB">
        <w:rPr>
          <w:rFonts w:ascii="Times New Roman" w:hAnsi="Times New Roman" w:cs="Times New Roman"/>
          <w:sz w:val="22"/>
          <w:szCs w:val="22"/>
          <w:highlight w:val="yellow"/>
        </w:rPr>
        <w:t>Adaptive EC management integrated with real-time VPD monitoring could improve nutrient use efficiency, reduce leachate losses, and optimize fertigation timing under variable solar radiation conditions.</w:t>
      </w:r>
      <w:r w:rsidRPr="00F12E3D">
        <w:rPr>
          <w:rFonts w:ascii="Times New Roman" w:hAnsi="Times New Roman" w:cs="Times New Roman"/>
          <w:sz w:val="22"/>
          <w:szCs w:val="22"/>
        </w:rPr>
        <w:t xml:space="preserve"> Moreover, coupling actuator duty-cycle logging with predictive regression or machine learning models provides a foundation for dynamic energy optimization, allowing lighting and climate control inputs to be aligned with marginal biomass gain. Future research will integrate real-time energy metering and multi-variable modeling across indoor and greenhouse </w:t>
      </w:r>
      <w:r w:rsidRPr="00F12E3D">
        <w:rPr>
          <w:rFonts w:ascii="Times New Roman" w:hAnsi="Times New Roman" w:cs="Times New Roman"/>
          <w:sz w:val="22"/>
          <w:szCs w:val="22"/>
        </w:rPr>
        <w:lastRenderedPageBreak/>
        <w:t>environments to quantify energy use efficiency (g fresh weight per kWh) and improve scalable, data-driven decision support tools for sustainable lettuce production.</w:t>
      </w:r>
    </w:p>
    <w:p w14:paraId="12097C24" w14:textId="77777777" w:rsidR="00472ED6" w:rsidRPr="00F12E3D" w:rsidRDefault="00472ED6" w:rsidP="00F12E3D">
      <w:pPr>
        <w:jc w:val="both"/>
        <w:rPr>
          <w:rFonts w:ascii="Times New Roman" w:hAnsi="Times New Roman" w:cs="Times New Roman"/>
          <w:sz w:val="22"/>
          <w:szCs w:val="22"/>
        </w:rPr>
      </w:pPr>
    </w:p>
    <w:sectPr w:rsidR="00472ED6" w:rsidRPr="00F12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E3D"/>
    <w:rsid w:val="00005A80"/>
    <w:rsid w:val="000912D3"/>
    <w:rsid w:val="001B2CB1"/>
    <w:rsid w:val="003F5361"/>
    <w:rsid w:val="00472ED6"/>
    <w:rsid w:val="005A73FB"/>
    <w:rsid w:val="005C3B83"/>
    <w:rsid w:val="007515BB"/>
    <w:rsid w:val="008A5822"/>
    <w:rsid w:val="009A00AF"/>
    <w:rsid w:val="00AE7F4C"/>
    <w:rsid w:val="00D7683D"/>
    <w:rsid w:val="00E14CED"/>
    <w:rsid w:val="00F12E3D"/>
    <w:rsid w:val="00FE0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9BE8"/>
  <w15:chartTrackingRefBased/>
  <w15:docId w15:val="{DF2A502E-09E4-47AF-9DBE-951A80280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E3D"/>
    <w:rPr>
      <w:rFonts w:eastAsiaTheme="majorEastAsia" w:cstheme="majorBidi"/>
      <w:color w:val="272727" w:themeColor="text1" w:themeTint="D8"/>
    </w:rPr>
  </w:style>
  <w:style w:type="paragraph" w:styleId="Title">
    <w:name w:val="Title"/>
    <w:basedOn w:val="Normal"/>
    <w:next w:val="Normal"/>
    <w:link w:val="TitleChar"/>
    <w:uiPriority w:val="10"/>
    <w:qFormat/>
    <w:rsid w:val="00F12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E3D"/>
    <w:pPr>
      <w:spacing w:before="160"/>
      <w:jc w:val="center"/>
    </w:pPr>
    <w:rPr>
      <w:i/>
      <w:iCs/>
      <w:color w:val="404040" w:themeColor="text1" w:themeTint="BF"/>
    </w:rPr>
  </w:style>
  <w:style w:type="character" w:customStyle="1" w:styleId="QuoteChar">
    <w:name w:val="Quote Char"/>
    <w:basedOn w:val="DefaultParagraphFont"/>
    <w:link w:val="Quote"/>
    <w:uiPriority w:val="29"/>
    <w:rsid w:val="00F12E3D"/>
    <w:rPr>
      <w:i/>
      <w:iCs/>
      <w:color w:val="404040" w:themeColor="text1" w:themeTint="BF"/>
    </w:rPr>
  </w:style>
  <w:style w:type="paragraph" w:styleId="ListParagraph">
    <w:name w:val="List Paragraph"/>
    <w:basedOn w:val="Normal"/>
    <w:uiPriority w:val="34"/>
    <w:qFormat/>
    <w:rsid w:val="00F12E3D"/>
    <w:pPr>
      <w:ind w:left="720"/>
      <w:contextualSpacing/>
    </w:pPr>
  </w:style>
  <w:style w:type="character" w:styleId="IntenseEmphasis">
    <w:name w:val="Intense Emphasis"/>
    <w:basedOn w:val="DefaultParagraphFont"/>
    <w:uiPriority w:val="21"/>
    <w:qFormat/>
    <w:rsid w:val="00F12E3D"/>
    <w:rPr>
      <w:i/>
      <w:iCs/>
      <w:color w:val="2F5496" w:themeColor="accent1" w:themeShade="BF"/>
    </w:rPr>
  </w:style>
  <w:style w:type="paragraph" w:styleId="IntenseQuote">
    <w:name w:val="Intense Quote"/>
    <w:basedOn w:val="Normal"/>
    <w:next w:val="Normal"/>
    <w:link w:val="IntenseQuoteChar"/>
    <w:uiPriority w:val="30"/>
    <w:qFormat/>
    <w:rsid w:val="00F12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E3D"/>
    <w:rPr>
      <w:i/>
      <w:iCs/>
      <w:color w:val="2F5496" w:themeColor="accent1" w:themeShade="BF"/>
    </w:rPr>
  </w:style>
  <w:style w:type="character" w:styleId="IntenseReference">
    <w:name w:val="Intense Reference"/>
    <w:basedOn w:val="DefaultParagraphFont"/>
    <w:uiPriority w:val="32"/>
    <w:qFormat/>
    <w:rsid w:val="00F12E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490</Words>
  <Characters>3326</Characters>
  <Application>Microsoft Office Word</Application>
  <DocSecurity>0</DocSecurity>
  <Lines>41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Eshwar Ravishankar</dc:creator>
  <cp:keywords/>
  <dc:description/>
  <cp:lastModifiedBy>Eshwar Ravishankar</cp:lastModifiedBy>
  <cp:revision>6</cp:revision>
  <dcterms:created xsi:type="dcterms:W3CDTF">2026-02-23T01:41:00Z</dcterms:created>
  <dcterms:modified xsi:type="dcterms:W3CDTF">2026-03-06T23:30:00Z</dcterms:modified>
</cp:coreProperties>
</file>