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sz w:val="60"/>
          <w:szCs w:val="60"/>
        </w:rPr>
      </w:pPr>
    </w:p>
    <w:p w14:paraId="00000002">
      <w:pPr>
        <w:rPr>
          <w:sz w:val="60"/>
          <w:szCs w:val="60"/>
        </w:rPr>
      </w:pPr>
    </w:p>
    <w:p w14:paraId="00000003">
      <w:pPr>
        <w:jc w:val="center"/>
        <w:rPr>
          <w:rFonts w:ascii="Montserrat" w:hAnsi="Montserrat" w:eastAsia="Montserrat" w:cs="Montserrat"/>
          <w:i/>
          <w:iCs/>
          <w:sz w:val="60"/>
          <w:szCs w:val="60"/>
        </w:rPr>
      </w:pPr>
      <w:r>
        <w:rPr>
          <w:rFonts w:ascii="Montserrat" w:hAnsi="Montserrat" w:eastAsia="Montserrat" w:cs="Montserrat"/>
          <w:i/>
          <w:iCs/>
          <w:sz w:val="60"/>
          <w:szCs w:val="60"/>
        </w:rPr>
        <w:t>Revisión Bibliográfica</w:t>
      </w:r>
    </w:p>
    <w:p w14:paraId="00000004">
      <w:pPr>
        <w:rPr>
          <w:sz w:val="60"/>
          <w:szCs w:val="60"/>
        </w:rPr>
      </w:pPr>
    </w:p>
    <w:p w14:paraId="00000005">
      <w:pPr>
        <w:jc w:val="center"/>
        <w:rPr>
          <w:rFonts w:ascii="Montserrat" w:hAnsi="Montserrat" w:eastAsia="Montserrat" w:cs="Montserrat"/>
          <w:sz w:val="28"/>
          <w:szCs w:val="28"/>
        </w:rPr>
      </w:pPr>
      <w:r>
        <w:rPr>
          <w:rFonts w:ascii="Montserrat" w:hAnsi="Montserrat" w:eastAsia="Montserrat" w:cs="Montserrat"/>
          <w:sz w:val="28"/>
          <w:szCs w:val="28"/>
        </w:rPr>
        <w:t xml:space="preserve">Gerardo Israel Herrera Campoverde </w:t>
      </w:r>
    </w:p>
    <w:p w14:paraId="00000006">
      <w:pPr>
        <w:jc w:val="center"/>
        <w:rPr>
          <w:sz w:val="28"/>
          <w:szCs w:val="28"/>
        </w:rPr>
      </w:pPr>
    </w:p>
    <w:p w14:paraId="00000007">
      <w:pPr>
        <w:rPr>
          <w:sz w:val="28"/>
          <w:szCs w:val="28"/>
        </w:rPr>
      </w:pPr>
    </w:p>
    <w:p w14:paraId="00000008">
      <w:pPr>
        <w:jc w:val="center"/>
        <w:rPr>
          <w:rFonts w:ascii="Montserrat" w:hAnsi="Montserrat" w:eastAsia="Montserrat" w:cs="Montserrat"/>
          <w:sz w:val="28"/>
          <w:szCs w:val="28"/>
        </w:rPr>
      </w:pPr>
      <w:r>
        <w:rPr>
          <w:rFonts w:ascii="Montserrat" w:hAnsi="Montserrat" w:eastAsia="Montserrat" w:cs="Montserrat"/>
          <w:sz w:val="28"/>
          <w:szCs w:val="28"/>
        </w:rPr>
        <w:t>21 de septiembre del 2026</w:t>
      </w:r>
    </w:p>
    <w:p w14:paraId="00000009">
      <w:pPr>
        <w:jc w:val="center"/>
        <w:rPr>
          <w:rFonts w:ascii="Montserrat" w:hAnsi="Montserrat" w:eastAsia="Montserrat" w:cs="Montserrat"/>
          <w:sz w:val="30"/>
          <w:szCs w:val="30"/>
        </w:rPr>
      </w:pPr>
    </w:p>
    <w:p w14:paraId="0000000A">
      <w:pPr>
        <w:jc w:val="center"/>
        <w:rPr>
          <w:rFonts w:ascii="Montserrat" w:hAnsi="Montserrat" w:eastAsia="Montserrat" w:cs="Montserrat"/>
          <w:sz w:val="30"/>
          <w:szCs w:val="30"/>
        </w:rPr>
      </w:pPr>
    </w:p>
    <w:p w14:paraId="0000000B">
      <w:pPr>
        <w:pStyle w:val="2"/>
        <w:jc w:val="center"/>
      </w:pPr>
      <w:bookmarkStart w:id="0" w:name="_Toc241589447"/>
      <w:r>
        <w:t>Resumen</w:t>
      </w:r>
      <w:bookmarkEnd w:id="0"/>
    </w:p>
    <w:p w14:paraId="0000000C">
      <w:pPr>
        <w:jc w:val="center"/>
        <w:rPr>
          <w:b/>
          <w:bCs/>
        </w:rPr>
      </w:pPr>
    </w:p>
    <w:p w14:paraId="0000000F">
      <w:pPr>
        <w:jc w:val="both"/>
      </w:pPr>
      <w:r>
        <w:rPr>
          <w:rFonts w:cs="Times New Roman"/>
        </w:rPr>
        <w:t>El presente documento expone el proceso y los resultados de una revisión bibliográfica enfocada en identificar proyectos e implementaciones relacionados al Internet de las Cosas (IoT) orientadas específicamente a la agricultura (agro-IoT). El objetivo principal de esta revisión proporciona el sustento teórico y técnico para la extracción de requisitos funcionales y no funcionales, así como los criterios de selección de componentes de hardware utilizados en arquitecturas de referencia (como la ISO/IEC 30141). Esta revisión sustenta la primera fase (Planificación de Requisitos) de la metodología de Desarrollo Rápido de Aplicaciones (RAD) aplicada al proyecto de titulación.</w:t>
      </w:r>
    </w:p>
    <w:p w14:paraId="00000026"/>
    <w:p w14:paraId="00000027">
      <w:pPr>
        <w:pStyle w:val="2"/>
      </w:pPr>
      <w:bookmarkStart w:id="1" w:name="_Toc241589448"/>
      <w:r>
        <w:t>Índice</w:t>
      </w:r>
      <w:bookmarkEnd w:id="1"/>
      <w:r>
        <w:t xml:space="preserve"> </w:t>
      </w:r>
    </w:p>
    <w:p w14:paraId="32B0CCD9">
      <w:pPr>
        <w:pStyle w:val="11"/>
        <w:tabs>
          <w:tab w:val="right" w:leader="dot" w:pos="9019"/>
        </w:tabs>
      </w:pPr>
      <w:r>
        <w:rPr>
          <w:rFonts w:ascii="Montserrat" w:hAnsi="Montserrat" w:eastAsia="Montserrat" w:cs="Montserrat"/>
          <w:b/>
          <w:bCs/>
        </w:rPr>
        <w:fldChar w:fldCharType="begin"/>
      </w:r>
      <w:r>
        <w:rPr>
          <w:rFonts w:ascii="Montserrat" w:hAnsi="Montserrat" w:eastAsia="Montserrat" w:cs="Montserrat"/>
          <w:b/>
          <w:bCs/>
        </w:rPr>
        <w:instrText xml:space="preserve"> TOC \o "1-3" \h \z \u </w:instrText>
      </w:r>
      <w:r>
        <w:rPr>
          <w:rFonts w:ascii="Montserrat" w:hAnsi="Montserrat" w:eastAsia="Montserrat" w:cs="Montserrat"/>
          <w:b/>
          <w:bCs/>
        </w:rPr>
        <w:fldChar w:fldCharType="separate"/>
      </w:r>
      <w:r>
        <w:fldChar w:fldCharType="begin"/>
      </w:r>
      <w:r>
        <w:instrText xml:space="preserve"> HYPERLINK \l "_Toc241589447" </w:instrText>
      </w:r>
      <w:r>
        <w:fldChar w:fldCharType="separate"/>
      </w:r>
      <w:r>
        <w:rPr>
          <w:rStyle w:val="10"/>
        </w:rPr>
        <w:t>Resumen</w:t>
      </w:r>
      <w:r>
        <w:tab/>
      </w:r>
      <w:r>
        <w:fldChar w:fldCharType="begin"/>
      </w:r>
      <w:r>
        <w:instrText xml:space="preserve"> PAGEREF _Toc241589447 \h </w:instrText>
      </w:r>
      <w:r>
        <w:fldChar w:fldCharType="separate"/>
      </w:r>
      <w:r>
        <w:t>1</w:t>
      </w:r>
      <w:r>
        <w:fldChar w:fldCharType="end"/>
      </w:r>
      <w:r>
        <w:fldChar w:fldCharType="end"/>
      </w:r>
    </w:p>
    <w:p w14:paraId="43AF7C3F">
      <w:pPr>
        <w:pStyle w:val="11"/>
        <w:tabs>
          <w:tab w:val="right" w:leader="dot" w:pos="9019"/>
        </w:tabs>
      </w:pPr>
      <w:r>
        <w:fldChar w:fldCharType="begin"/>
      </w:r>
      <w:r>
        <w:instrText xml:space="preserve"> HYPERLINK \l "_Toc241589448" </w:instrText>
      </w:r>
      <w:r>
        <w:fldChar w:fldCharType="separate"/>
      </w:r>
      <w:r>
        <w:rPr>
          <w:rStyle w:val="10"/>
        </w:rPr>
        <w:t>Índice</w:t>
      </w:r>
      <w:r>
        <w:tab/>
      </w:r>
      <w:r>
        <w:fldChar w:fldCharType="begin"/>
      </w:r>
      <w:r>
        <w:instrText xml:space="preserve"> PAGEREF _Toc241589448 \h </w:instrText>
      </w:r>
      <w:r>
        <w:fldChar w:fldCharType="separate"/>
      </w:r>
      <w:r>
        <w:t>2</w:t>
      </w:r>
      <w:r>
        <w:fldChar w:fldCharType="end"/>
      </w:r>
      <w:r>
        <w:fldChar w:fldCharType="end"/>
      </w:r>
    </w:p>
    <w:p w14:paraId="3E3E4771">
      <w:pPr>
        <w:pStyle w:val="11"/>
        <w:tabs>
          <w:tab w:val="left" w:pos="480"/>
          <w:tab w:val="right" w:leader="dot" w:pos="9019"/>
        </w:tabs>
      </w:pPr>
      <w:r>
        <w:fldChar w:fldCharType="begin"/>
      </w:r>
      <w:r>
        <w:instrText xml:space="preserve"> HYPERLINK \l "_Toc241589449" </w:instrText>
      </w:r>
      <w:r>
        <w:fldChar w:fldCharType="separate"/>
      </w:r>
      <w:r>
        <w:rPr>
          <w:rStyle w:val="10"/>
        </w:rPr>
        <w:t>1.</w:t>
      </w:r>
      <w:r>
        <w:tab/>
      </w:r>
      <w:r>
        <w:rPr>
          <w:rStyle w:val="10"/>
        </w:rPr>
        <w:t>Introducción</w:t>
      </w:r>
      <w:r>
        <w:tab/>
      </w:r>
      <w:r>
        <w:fldChar w:fldCharType="begin"/>
      </w:r>
      <w:r>
        <w:instrText xml:space="preserve"> PAGEREF _Toc241589449 \h </w:instrText>
      </w:r>
      <w:r>
        <w:fldChar w:fldCharType="separate"/>
      </w:r>
      <w:r>
        <w:t>3</w:t>
      </w:r>
      <w:r>
        <w:fldChar w:fldCharType="end"/>
      </w:r>
      <w:r>
        <w:fldChar w:fldCharType="end"/>
      </w:r>
    </w:p>
    <w:p w14:paraId="7647899F">
      <w:pPr>
        <w:pStyle w:val="11"/>
        <w:tabs>
          <w:tab w:val="left" w:pos="480"/>
          <w:tab w:val="right" w:leader="dot" w:pos="9019"/>
        </w:tabs>
      </w:pPr>
      <w:r>
        <w:fldChar w:fldCharType="begin"/>
      </w:r>
      <w:r>
        <w:instrText xml:space="preserve"> HYPERLINK \l "_Toc241589450" </w:instrText>
      </w:r>
      <w:r>
        <w:fldChar w:fldCharType="separate"/>
      </w:r>
      <w:r>
        <w:rPr>
          <w:rStyle w:val="10"/>
        </w:rPr>
        <w:t>2.</w:t>
      </w:r>
      <w:r>
        <w:tab/>
      </w:r>
      <w:r>
        <w:rPr>
          <w:rStyle w:val="10"/>
        </w:rPr>
        <w:t>Metodología</w:t>
      </w:r>
      <w:r>
        <w:tab/>
      </w:r>
      <w:r>
        <w:fldChar w:fldCharType="begin"/>
      </w:r>
      <w:r>
        <w:instrText xml:space="preserve"> PAGEREF _Toc241589450 \h </w:instrText>
      </w:r>
      <w:r>
        <w:fldChar w:fldCharType="separate"/>
      </w:r>
      <w:r>
        <w:t>3</w:t>
      </w:r>
      <w:r>
        <w:fldChar w:fldCharType="end"/>
      </w:r>
      <w:r>
        <w:fldChar w:fldCharType="end"/>
      </w:r>
    </w:p>
    <w:p w14:paraId="31779538">
      <w:pPr>
        <w:pStyle w:val="12"/>
        <w:tabs>
          <w:tab w:val="left" w:pos="960"/>
          <w:tab w:val="right" w:leader="dot" w:pos="9019"/>
        </w:tabs>
      </w:pPr>
      <w:r>
        <w:fldChar w:fldCharType="begin"/>
      </w:r>
      <w:r>
        <w:instrText xml:space="preserve"> HYPERLINK \l "_Toc241589451" </w:instrText>
      </w:r>
      <w:r>
        <w:fldChar w:fldCharType="separate"/>
      </w:r>
      <w:r>
        <w:rPr>
          <w:rStyle w:val="10"/>
        </w:rPr>
        <w:t>2.1.</w:t>
      </w:r>
      <w:r>
        <w:tab/>
      </w:r>
      <w:r>
        <w:rPr>
          <w:rStyle w:val="10"/>
        </w:rPr>
        <w:t>Diseño de la Revisión</w:t>
      </w:r>
      <w:r>
        <w:tab/>
      </w:r>
      <w:r>
        <w:fldChar w:fldCharType="begin"/>
      </w:r>
      <w:r>
        <w:instrText xml:space="preserve"> PAGEREF _Toc241589451 \h </w:instrText>
      </w:r>
      <w:r>
        <w:fldChar w:fldCharType="separate"/>
      </w:r>
      <w:r>
        <w:t>4</w:t>
      </w:r>
      <w:r>
        <w:fldChar w:fldCharType="end"/>
      </w:r>
      <w:r>
        <w:fldChar w:fldCharType="end"/>
      </w:r>
    </w:p>
    <w:p w14:paraId="53A453F1">
      <w:pPr>
        <w:pStyle w:val="12"/>
        <w:tabs>
          <w:tab w:val="left" w:pos="960"/>
          <w:tab w:val="right" w:leader="dot" w:pos="9019"/>
        </w:tabs>
      </w:pPr>
      <w:r>
        <w:fldChar w:fldCharType="begin"/>
      </w:r>
      <w:r>
        <w:instrText xml:space="preserve"> HYPERLINK \l "_Toc241589452" </w:instrText>
      </w:r>
      <w:r>
        <w:fldChar w:fldCharType="separate"/>
      </w:r>
      <w:r>
        <w:rPr>
          <w:rStyle w:val="10"/>
        </w:rPr>
        <w:t>2.2.</w:t>
      </w:r>
      <w:r>
        <w:tab/>
      </w:r>
      <w:r>
        <w:rPr>
          <w:rStyle w:val="10"/>
        </w:rPr>
        <w:t>Realización de la Revisión</w:t>
      </w:r>
      <w:r>
        <w:tab/>
      </w:r>
      <w:r>
        <w:fldChar w:fldCharType="begin"/>
      </w:r>
      <w:r>
        <w:instrText xml:space="preserve"> PAGEREF _Toc241589452 \h </w:instrText>
      </w:r>
      <w:r>
        <w:fldChar w:fldCharType="separate"/>
      </w:r>
      <w:r>
        <w:t>4</w:t>
      </w:r>
      <w:r>
        <w:fldChar w:fldCharType="end"/>
      </w:r>
      <w:r>
        <w:fldChar w:fldCharType="end"/>
      </w:r>
    </w:p>
    <w:p w14:paraId="62353325">
      <w:pPr>
        <w:pStyle w:val="12"/>
        <w:tabs>
          <w:tab w:val="left" w:pos="960"/>
          <w:tab w:val="right" w:leader="dot" w:pos="9019"/>
        </w:tabs>
      </w:pPr>
      <w:r>
        <w:fldChar w:fldCharType="begin"/>
      </w:r>
      <w:r>
        <w:instrText xml:space="preserve"> HYPERLINK \l "_Toc241589453" </w:instrText>
      </w:r>
      <w:r>
        <w:fldChar w:fldCharType="separate"/>
      </w:r>
      <w:r>
        <w:rPr>
          <w:rStyle w:val="10"/>
        </w:rPr>
        <w:t>2.3.</w:t>
      </w:r>
      <w:r>
        <w:tab/>
      </w:r>
      <w:r>
        <w:rPr>
          <w:rStyle w:val="10"/>
        </w:rPr>
        <w:t>Análisis</w:t>
      </w:r>
      <w:r>
        <w:tab/>
      </w:r>
      <w:r>
        <w:fldChar w:fldCharType="begin"/>
      </w:r>
      <w:r>
        <w:instrText xml:space="preserve"> PAGEREF _Toc241589453 \h </w:instrText>
      </w:r>
      <w:r>
        <w:fldChar w:fldCharType="separate"/>
      </w:r>
      <w:r>
        <w:t>9</w:t>
      </w:r>
      <w:r>
        <w:fldChar w:fldCharType="end"/>
      </w:r>
      <w:r>
        <w:fldChar w:fldCharType="end"/>
      </w:r>
    </w:p>
    <w:p w14:paraId="2DF7F02E">
      <w:pPr>
        <w:pStyle w:val="11"/>
        <w:tabs>
          <w:tab w:val="left" w:pos="480"/>
          <w:tab w:val="right" w:leader="dot" w:pos="9019"/>
        </w:tabs>
      </w:pPr>
      <w:r>
        <w:fldChar w:fldCharType="begin"/>
      </w:r>
      <w:r>
        <w:instrText xml:space="preserve"> HYPERLINK \l "_Toc241589454" </w:instrText>
      </w:r>
      <w:r>
        <w:fldChar w:fldCharType="separate"/>
      </w:r>
      <w:r>
        <w:rPr>
          <w:rStyle w:val="10"/>
        </w:rPr>
        <w:t>3.</w:t>
      </w:r>
      <w:r>
        <w:tab/>
      </w:r>
      <w:r>
        <w:rPr>
          <w:rStyle w:val="10"/>
        </w:rPr>
        <w:t>Resultados</w:t>
      </w:r>
      <w:r>
        <w:tab/>
      </w:r>
      <w:r>
        <w:fldChar w:fldCharType="begin"/>
      </w:r>
      <w:r>
        <w:instrText xml:space="preserve"> PAGEREF _Toc241589454 \h </w:instrText>
      </w:r>
      <w:r>
        <w:fldChar w:fldCharType="separate"/>
      </w:r>
      <w:r>
        <w:t>14</w:t>
      </w:r>
      <w:r>
        <w:fldChar w:fldCharType="end"/>
      </w:r>
      <w:r>
        <w:fldChar w:fldCharType="end"/>
      </w:r>
    </w:p>
    <w:p w14:paraId="1BC5D11B">
      <w:pPr>
        <w:pStyle w:val="12"/>
        <w:tabs>
          <w:tab w:val="left" w:pos="960"/>
          <w:tab w:val="right" w:leader="dot" w:pos="9019"/>
        </w:tabs>
      </w:pPr>
      <w:r>
        <w:fldChar w:fldCharType="begin"/>
      </w:r>
      <w:r>
        <w:instrText xml:space="preserve"> HYPERLINK \l "_Toc241589455" </w:instrText>
      </w:r>
      <w:r>
        <w:fldChar w:fldCharType="separate"/>
      </w:r>
      <w:r>
        <w:rPr>
          <w:rStyle w:val="10"/>
        </w:rPr>
        <w:t>3.1.</w:t>
      </w:r>
      <w:r>
        <w:tab/>
      </w:r>
      <w:r>
        <w:rPr>
          <w:rStyle w:val="10"/>
        </w:rPr>
        <w:t>Respuesta a la Pregunta</w:t>
      </w:r>
      <w:r>
        <w:tab/>
      </w:r>
      <w:r>
        <w:fldChar w:fldCharType="begin"/>
      </w:r>
      <w:r>
        <w:instrText xml:space="preserve"> PAGEREF _Toc241589455 \h </w:instrText>
      </w:r>
      <w:r>
        <w:fldChar w:fldCharType="separate"/>
      </w:r>
      <w:r>
        <w:t>14</w:t>
      </w:r>
      <w:r>
        <w:fldChar w:fldCharType="end"/>
      </w:r>
      <w:r>
        <w:fldChar w:fldCharType="end"/>
      </w:r>
    </w:p>
    <w:p w14:paraId="0EF3BBB9">
      <w:pPr>
        <w:pStyle w:val="12"/>
        <w:tabs>
          <w:tab w:val="left" w:pos="1200"/>
          <w:tab w:val="right" w:leader="dot" w:pos="9019"/>
        </w:tabs>
      </w:pPr>
      <w:r>
        <w:fldChar w:fldCharType="begin"/>
      </w:r>
      <w:r>
        <w:instrText xml:space="preserve"> HYPERLINK \l "_Toc241589456" </w:instrText>
      </w:r>
      <w:r>
        <w:fldChar w:fldCharType="separate"/>
      </w:r>
      <w:r>
        <w:rPr>
          <w:rStyle w:val="10"/>
        </w:rPr>
        <w:t>3.1.1.</w:t>
      </w:r>
      <w:r>
        <w:tab/>
      </w:r>
      <w:r>
        <w:rPr>
          <w:rStyle w:val="10"/>
        </w:rPr>
        <w:t>Componentes de hardware</w:t>
      </w:r>
      <w:r>
        <w:tab/>
      </w:r>
      <w:r>
        <w:fldChar w:fldCharType="begin"/>
      </w:r>
      <w:r>
        <w:instrText xml:space="preserve"> PAGEREF _Toc241589456 \h </w:instrText>
      </w:r>
      <w:r>
        <w:fldChar w:fldCharType="separate"/>
      </w:r>
      <w:r>
        <w:t>14</w:t>
      </w:r>
      <w:r>
        <w:fldChar w:fldCharType="end"/>
      </w:r>
      <w:r>
        <w:fldChar w:fldCharType="end"/>
      </w:r>
    </w:p>
    <w:p w14:paraId="3775638D">
      <w:pPr>
        <w:pStyle w:val="12"/>
        <w:tabs>
          <w:tab w:val="left" w:pos="1200"/>
          <w:tab w:val="right" w:leader="dot" w:pos="9019"/>
        </w:tabs>
      </w:pPr>
      <w:r>
        <w:fldChar w:fldCharType="begin"/>
      </w:r>
      <w:r>
        <w:instrText xml:space="preserve"> HYPERLINK \l "_Toc241589457" </w:instrText>
      </w:r>
      <w:r>
        <w:fldChar w:fldCharType="separate"/>
      </w:r>
      <w:r>
        <w:rPr>
          <w:rStyle w:val="10"/>
        </w:rPr>
        <w:t>3.1.2.</w:t>
      </w:r>
      <w:r>
        <w:tab/>
      </w:r>
      <w:r>
        <w:rPr>
          <w:rStyle w:val="10"/>
        </w:rPr>
        <w:t>Requisitos del sistema</w:t>
      </w:r>
      <w:r>
        <w:tab/>
      </w:r>
      <w:r>
        <w:fldChar w:fldCharType="begin"/>
      </w:r>
      <w:r>
        <w:instrText xml:space="preserve"> PAGEREF _Toc241589457 \h </w:instrText>
      </w:r>
      <w:r>
        <w:fldChar w:fldCharType="separate"/>
      </w:r>
      <w:r>
        <w:t>14</w:t>
      </w:r>
      <w:r>
        <w:fldChar w:fldCharType="end"/>
      </w:r>
      <w:r>
        <w:fldChar w:fldCharType="end"/>
      </w:r>
    </w:p>
    <w:p w14:paraId="2D78ECAB">
      <w:pPr>
        <w:pStyle w:val="11"/>
        <w:tabs>
          <w:tab w:val="left" w:pos="480"/>
          <w:tab w:val="right" w:leader="dot" w:pos="9019"/>
        </w:tabs>
      </w:pPr>
      <w:r>
        <w:fldChar w:fldCharType="begin"/>
      </w:r>
      <w:r>
        <w:instrText xml:space="preserve"> HYPERLINK \l "_Toc241589458" </w:instrText>
      </w:r>
      <w:r>
        <w:fldChar w:fldCharType="separate"/>
      </w:r>
      <w:r>
        <w:rPr>
          <w:rStyle w:val="10"/>
        </w:rPr>
        <w:t>4.</w:t>
      </w:r>
      <w:r>
        <w:tab/>
      </w:r>
      <w:r>
        <w:rPr>
          <w:rStyle w:val="10"/>
        </w:rPr>
        <w:t>Conclusión</w:t>
      </w:r>
      <w:r>
        <w:tab/>
      </w:r>
      <w:r>
        <w:fldChar w:fldCharType="begin"/>
      </w:r>
      <w:r>
        <w:instrText xml:space="preserve"> PAGEREF _Toc241589458 \h </w:instrText>
      </w:r>
      <w:r>
        <w:fldChar w:fldCharType="separate"/>
      </w:r>
      <w:r>
        <w:t>16</w:t>
      </w:r>
      <w:r>
        <w:fldChar w:fldCharType="end"/>
      </w:r>
      <w:r>
        <w:fldChar w:fldCharType="end"/>
      </w:r>
    </w:p>
    <w:p w14:paraId="131C2ACD">
      <w:pPr>
        <w:pStyle w:val="11"/>
        <w:tabs>
          <w:tab w:val="left" w:pos="480"/>
          <w:tab w:val="right" w:leader="dot" w:pos="9019"/>
        </w:tabs>
      </w:pPr>
      <w:r>
        <w:fldChar w:fldCharType="begin"/>
      </w:r>
      <w:r>
        <w:instrText xml:space="preserve"> HYPERLINK \l "_Toc241589459" </w:instrText>
      </w:r>
      <w:r>
        <w:fldChar w:fldCharType="separate"/>
      </w:r>
      <w:r>
        <w:rPr>
          <w:rStyle w:val="10"/>
        </w:rPr>
        <w:t>5.</w:t>
      </w:r>
      <w:r>
        <w:tab/>
      </w:r>
      <w:r>
        <w:rPr>
          <w:rStyle w:val="10"/>
        </w:rPr>
        <w:t>Referencias</w:t>
      </w:r>
      <w:r>
        <w:tab/>
      </w:r>
      <w:r>
        <w:fldChar w:fldCharType="begin"/>
      </w:r>
      <w:r>
        <w:instrText xml:space="preserve"> PAGEREF _Toc241589459 \h </w:instrText>
      </w:r>
      <w:r>
        <w:fldChar w:fldCharType="separate"/>
      </w:r>
      <w:r>
        <w:t>16</w:t>
      </w:r>
      <w:r>
        <w:fldChar w:fldCharType="end"/>
      </w:r>
      <w:r>
        <w:fldChar w:fldCharType="end"/>
      </w:r>
    </w:p>
    <w:p w14:paraId="00000028">
      <w:pPr>
        <w:rPr>
          <w:rFonts w:ascii="Montserrat" w:hAnsi="Montserrat" w:eastAsia="Montserrat" w:cs="Montserrat"/>
          <w:b/>
          <w:bCs/>
        </w:rPr>
      </w:pPr>
      <w:r>
        <w:rPr>
          <w:rFonts w:ascii="Montserrat" w:hAnsi="Montserrat" w:eastAsia="Montserrat" w:cs="Montserrat"/>
          <w:b/>
          <w:bCs/>
        </w:rPr>
        <w:fldChar w:fldCharType="end"/>
      </w:r>
    </w:p>
    <w:p w14:paraId="00000029">
      <w:pPr>
        <w:rPr>
          <w:rFonts w:ascii="Montserrat" w:hAnsi="Montserrat" w:eastAsia="Montserrat" w:cs="Montserrat"/>
          <w:b/>
          <w:bCs/>
        </w:rPr>
      </w:pPr>
    </w:p>
    <w:p w14:paraId="0000002A">
      <w:pPr>
        <w:rPr>
          <w:rFonts w:ascii="Montserrat" w:hAnsi="Montserrat" w:eastAsia="Montserrat" w:cs="Montserrat"/>
          <w:b/>
          <w:bCs/>
        </w:rPr>
      </w:pPr>
    </w:p>
    <w:p w14:paraId="0000002B">
      <w:pPr>
        <w:rPr>
          <w:rFonts w:ascii="Montserrat" w:hAnsi="Montserrat" w:eastAsia="Montserrat" w:cs="Montserrat"/>
          <w:b/>
          <w:bCs/>
        </w:rPr>
      </w:pPr>
    </w:p>
    <w:p w14:paraId="0000002C">
      <w:pPr>
        <w:rPr>
          <w:rFonts w:ascii="Montserrat" w:hAnsi="Montserrat" w:eastAsia="Montserrat" w:cs="Montserrat"/>
          <w:b/>
          <w:bCs/>
        </w:rPr>
      </w:pPr>
    </w:p>
    <w:p w14:paraId="0000002D">
      <w:pPr>
        <w:rPr>
          <w:rFonts w:ascii="Montserrat" w:hAnsi="Montserrat" w:eastAsia="Montserrat" w:cs="Montserrat"/>
          <w:b/>
          <w:bCs/>
        </w:rPr>
      </w:pPr>
    </w:p>
    <w:p w14:paraId="00000053">
      <w:pPr>
        <w:rPr>
          <w:rFonts w:ascii="Montserrat" w:hAnsi="Montserrat" w:eastAsia="Montserrat" w:cs="Montserrat"/>
          <w:b/>
          <w:bCs/>
        </w:rPr>
      </w:pPr>
    </w:p>
    <w:p w14:paraId="18121E8B">
      <w:pPr>
        <w:rPr>
          <w:rFonts w:ascii="Montserrat" w:hAnsi="Montserrat" w:eastAsia="Montserrat" w:cs="Montserrat"/>
          <w:b/>
          <w:bCs/>
        </w:rPr>
      </w:pPr>
    </w:p>
    <w:p w14:paraId="00000054">
      <w:pPr>
        <w:pStyle w:val="2"/>
        <w:numPr>
          <w:ilvl w:val="0"/>
          <w:numId w:val="1"/>
        </w:numPr>
      </w:pPr>
      <w:bookmarkStart w:id="2" w:name="_oiisu01z0ftz" w:colFirst="0" w:colLast="0"/>
      <w:bookmarkEnd w:id="2"/>
      <w:bookmarkStart w:id="3" w:name="_Toc241589449"/>
      <w:r>
        <w:t>Introducción</w:t>
      </w:r>
      <w:bookmarkEnd w:id="3"/>
    </w:p>
    <w:p w14:paraId="00000059">
      <w:pPr>
        <w:jc w:val="both"/>
      </w:pPr>
      <w:r>
        <w:t xml:space="preserve">El auge del Internet de las Cosas (IoT) en el sector agrícola ha permitido optimizar recursos, mejorar la toma de decisiones y automatizar procesos como el riego a través del monitoreo agroclimático </w:t>
      </w:r>
      <w:r>
        <w:fldChar w:fldCharType="begin"/>
      </w:r>
      <w:r>
        <w:instrText xml:space="preserve"> ADDIN ZOTERO_ITEM CSL_CITATION {"citationID":"kqwKT1zL","properties":{"unsorted":false,"formattedCitation":"[1]","plainCitation":"[1]","noteIndex":0},"citationItems":[{"id":3914,"uris":["http://zotero.org/users/16907913/items/4GZRYNTG"],"itemData":{"id":3914,"type":"article-journal","abstract":"This paper presents an in-depth contextualized tutorial on Agricultural IoT (Agri-IoT), covering the fundamental concepts, assessment of routing architectures and protocols, and performance optimization techniques via a systematic survey and synthesis of the related literature. The negative impacts of climate change and the increasing global population on food security and unemployment threats have motivated the adoption of the wireless sensor network (WSN)-based Agri-IoT as an indispensable underlying technology in precision agriculture and greenhouses to improve food production capacities and quality. However, most related Agri-IoT testbed solutions have failed to achieve their performance expectations due to the lack of an in-depth and contextualized reference tutorial that provides a holistic overview of communication technologies, routing architectures, and performance optimization modalities based on users’ expectations. Thus, although IoT applications are founded on a common idea, each use case (e.g., Agri-IoT) varies based on the speciﬁc performance and user expectations as well as technological, architectural, and deployment requirements. Likewise, the agricultural setting is a unique and hostile area where conventional IoT technologies do not apply, hence the need for this tutorial. Consequently, this tutorial addresses these via the following contributions: (1) a systematic overview of the fundamental concepts, technologies, and architectural standards of WSN-based Agri-IoT, (2) an evaluation of the technical design requirements of a robust, location-independent, and affordable Agri-IoT, (3) a comprehensive survey of the benchmarking fault-tolerance techniques, communication standards, routing and medium access control (MAC) protocols, and WSN-based Agri-IoT testbed solutions, and (4) an in-depth case study on how to design a self-healing, energy-efﬁcient, affordable, adaptive, stable, autonomous, and cluster-based WSN-speciﬁc Agri-IoT from a proposed taxonomy of multi-objective optimization (MOO) metrics that can guarantee an optimized network performance. Furthermore, this tutorial established new taxonomies of faults, architectural layers, and MOO metrics for cluster-based Agri-IoT (CA-IoT) networks and a three-tier objective framework with remedial measures for designing an efﬁcient associated supervisory protocol for cluster-based Agri-IoT networks.","container-title":"IoT","DOI":"10.3390/iot4030014","ISSN":"2624-831X","issue":"3","journalAbbreviation":"IoT","language":"en","page":"265-318","source":"DOI.org (Crossref)","title":"A Tutorial on Agricultural IoT: Fundamental Concepts, Architectures, Routing, and Optimization","title-short":"A Tutorial on Agricultural IoT","volume":"4","author":[{"family":"Effah","given":"Emmanuel"},{"family":"Thiare","given":"Ousmane"},{"family":"Wyglinski","given":"Alexander M."}],"issued":{"date-parts":[["2023",7,27]]}}}],"schema":"https://github.com/citation-style-language/schema/raw/master/csl-citation.json"} </w:instrText>
      </w:r>
      <w:r>
        <w:fldChar w:fldCharType="separate"/>
      </w:r>
      <w:r>
        <w:rPr>
          <w:rFonts w:cs="Times New Roman"/>
        </w:rPr>
        <w:t>[1]</w:t>
      </w:r>
      <w:r>
        <w:fldChar w:fldCharType="end"/>
      </w:r>
      <w:r>
        <w:t xml:space="preserve">. Mediante la revisión bibliográfica se selecciona la información relacionada con los requisitos y componentes de hardware vinculados a aplicaciones IoT en la agricultura. En este contexto, documentar la búsqueda de trabajos relacionados y propuestas similares sirve como base metodológica para definir las especificaciones técnicas del sistema a desarrollar. Esto incluye la selección de hardware de bajo costo y bajo consumo energético, la definición de los dominios de entidades físicas y la estructuración de los requerimientos funcionales y no funcionales que garantizarán la viabilidad del prototipo </w:t>
      </w:r>
      <w:r>
        <w:fldChar w:fldCharType="begin"/>
      </w:r>
      <w:r>
        <w:instrText xml:space="preserve"> ADDIN ZOTERO_ITEM CSL_CITATION {"citationID":"wdhK9dtD","properties":{"unsorted":false,"formattedCitation":"[2]","plainCitation":"[2]","noteIndex":0},"citationItems":[{"id":3916,"uris":["http://zotero.org/users/16907913/items/4HRL6DVP"],"itemData":{"id":3916,"type":"article-journal","abstract":"Precision agriculture, driven by the convergence of smart sensors and advanced technologies, has emerged as a transformative force in modern farming practices. The present review synthesizes insights from a multitude of research papers, exploring the dynamic landscape of precision agriculture. The main focus is on the integration of smart sensors, coupled with technologies such as the Internet of Things (IoT), big data analytics, and Artificial Intelligence (AI). This analysis is set in the context of optimizing crop management, using resources wisely, and promoting sustainability in the agricultural sector. This review aims to provide an in-depth understanding of emerging trends and key developments in the field of precision agriculture. By highlighting the benefits of integrating smart sensors and innovative technologies, it aspires to enlighten farming practitioners, researchers, and policymakers on best practices, current challenges, and prospects. It aims to foster a transition towards more sustainable, efficient, and intelligent farming practices while encouraging the continued adoption and adaptation of new technologies.","container-title":"Sensors","DOI":"10.3390/s24082647","ISSN":"1424-8220","issue":"8","journalAbbreviation":"Sensors","language":"en","page":"2647","source":"DOI.org (Crossref)","title":"Smart Sensors and Smart Data for Precision Agriculture: A Review","title-short":"Smart Sensors and Smart Data for Precision Agriculture","volume":"24","author":[{"family":"Soussi","given":"Abdellatif"},{"family":"Zero","given":"Enrico"},{"family":"Sacile","given":"Roberto"},{"family":"Trinchero","given":"Daniele"},{"family":"Fossa","given":"Marco"}],"issued":{"date-parts":[["2024",4,21]]}}}],"schema":"https://github.com/citation-style-language/schema/raw/master/csl-citation.json"} </w:instrText>
      </w:r>
      <w:r>
        <w:fldChar w:fldCharType="separate"/>
      </w:r>
      <w:r>
        <w:rPr>
          <w:rFonts w:cs="Times New Roman"/>
        </w:rPr>
        <w:t>[2]</w:t>
      </w:r>
      <w:r>
        <w:fldChar w:fldCharType="end"/>
      </w:r>
      <w:r>
        <w:t>.</w:t>
      </w:r>
    </w:p>
    <w:p w14:paraId="0000005B">
      <w:pPr>
        <w:pStyle w:val="2"/>
        <w:numPr>
          <w:ilvl w:val="0"/>
          <w:numId w:val="1"/>
        </w:numPr>
      </w:pPr>
      <w:bookmarkStart w:id="4" w:name="_jj0095eaud7j" w:colFirst="0" w:colLast="0"/>
      <w:bookmarkEnd w:id="4"/>
      <w:bookmarkStart w:id="5" w:name="_Toc241589450"/>
      <w:r>
        <w:t>Metodología</w:t>
      </w:r>
      <w:bookmarkEnd w:id="5"/>
    </w:p>
    <w:p w14:paraId="1FF5D6F0">
      <w:pPr>
        <w:jc w:val="both"/>
        <w:rPr>
          <w:color w:val="auto"/>
        </w:rPr>
      </w:pPr>
      <w:r>
        <w:t xml:space="preserve">La siguiente revisión bibliográfica toma como referencia la metodología planteada por el trabajado </w:t>
      </w:r>
      <w:r>
        <w:fldChar w:fldCharType="begin"/>
      </w:r>
      <w:r>
        <w:instrText xml:space="preserve"> ADDIN ZOTERO_ITEM CSL_CITATION {"citationID":"u8hwtARA","properties":{"unsorted":false,"formattedCitation":"[3]","plainCitation":"[3]","noteIndex":0},"citationItems":[{"id":3912,"uris":["http://zotero.org/users/16907913/items/G2L7PMNC"],"itemData":{"id":3912,"type":"article-journal","abstract":"Knowledge production within the ﬁeld of business research is accelerating at a tremendous speed while at the same time remaining fragmented and interdisciplinary. This makes it hard to keep up with state-of-the-art and to be at the forefront of research, as well as to assess the collective evidence in a particular area of business research. This is why the literature review as a research method is more relevant than ever. Traditional literature reviews often lack thoroughness and rigor and are conducted ad hoc, rather than following a speciﬁc methodology. Therefore, questions can be raised about the quality and trustworthiness of these types of reviews. This paper discusses literature review as a methodology for conducting research and oﬀers an overview of diﬀerent types of reviews, as well as some guidelines to how to both conduct and evaluate a literature review paper. It also discusses common pitfalls and how to get literature reviews published.","container-title":"Journal of Business Research","DOI":"10.1016/j.jbusres.2019.07.039","ISSN":"01482963","journalAbbreviation":"Journal of Business Research","language":"en","page":"333-339","source":"DOI.org (Crossref)","title":"Literature review as a research methodology: An overview and guidelines","title-short":"Literature review as a research methodology","volume":"104","author":[{"family":"Snyder","given":"Hannah"}],"issued":{"date-parts":[["2019",11]]}}}],"schema":"https://github.com/citation-style-language/schema/raw/master/csl-citation.json"} </w:instrText>
      </w:r>
      <w:r>
        <w:fldChar w:fldCharType="separate"/>
      </w:r>
      <w:r>
        <w:rPr>
          <w:rFonts w:cs="Times New Roman"/>
        </w:rPr>
        <w:t>[3]</w:t>
      </w:r>
      <w:r>
        <w:fldChar w:fldCharType="end"/>
      </w:r>
      <w:r>
        <w:t>, en donde se plantea la ejecución de una revisión de literatura dividida estructuradamente en 4 fases: Diseño de la revisión, Realización de la revisión, Análisis, y Estructura y redacción.</w:t>
      </w:r>
    </w:p>
    <w:p w14:paraId="230A81C5">
      <w:pPr>
        <w:pStyle w:val="3"/>
        <w:numPr>
          <w:ilvl w:val="1"/>
          <w:numId w:val="1"/>
        </w:numPr>
        <w:ind w:left="431" w:hanging="431"/>
      </w:pPr>
      <w:bookmarkStart w:id="6" w:name="_5e4ztb8cqecn" w:colFirst="0" w:colLast="0"/>
      <w:bookmarkEnd w:id="6"/>
      <w:bookmarkStart w:id="7" w:name="_Toc241589451"/>
      <w:r>
        <w:t>Diseño de la Revisión</w:t>
      </w:r>
      <w:bookmarkEnd w:id="7"/>
    </w:p>
    <w:p w14:paraId="43884BB6">
      <w:pPr>
        <w:jc w:val="both"/>
      </w:pPr>
      <w:r>
        <w:t>Se plantea el diseño de la investigación definiendo el alcance, los interrogantes a resolver y las fuentes de información.</w:t>
      </w:r>
    </w:p>
    <w:p w14:paraId="31C1D25B">
      <w:pPr>
        <w:pStyle w:val="22"/>
        <w:keepNext/>
        <w:keepLines/>
        <w:numPr>
          <w:ilvl w:val="0"/>
          <w:numId w:val="2"/>
        </w:numPr>
        <w:contextualSpacing w:val="0"/>
        <w:outlineLvl w:val="3"/>
        <w:rPr>
          <w:b/>
          <w:vanish/>
          <w:sz w:val="24"/>
          <w:szCs w:val="24"/>
        </w:rPr>
      </w:pPr>
    </w:p>
    <w:p w14:paraId="37DEA934">
      <w:pPr>
        <w:pStyle w:val="22"/>
        <w:keepNext/>
        <w:keepLines/>
        <w:numPr>
          <w:ilvl w:val="0"/>
          <w:numId w:val="2"/>
        </w:numPr>
        <w:contextualSpacing w:val="0"/>
        <w:outlineLvl w:val="3"/>
        <w:rPr>
          <w:b/>
          <w:vanish/>
          <w:sz w:val="24"/>
          <w:szCs w:val="24"/>
        </w:rPr>
      </w:pPr>
    </w:p>
    <w:p w14:paraId="592521C7">
      <w:pPr>
        <w:pStyle w:val="22"/>
        <w:keepNext/>
        <w:keepLines/>
        <w:numPr>
          <w:ilvl w:val="1"/>
          <w:numId w:val="2"/>
        </w:numPr>
        <w:contextualSpacing w:val="0"/>
        <w:outlineLvl w:val="3"/>
        <w:rPr>
          <w:b/>
          <w:vanish/>
          <w:sz w:val="24"/>
          <w:szCs w:val="24"/>
        </w:rPr>
      </w:pPr>
    </w:p>
    <w:p w14:paraId="164360AE">
      <w:pPr>
        <w:pStyle w:val="5"/>
        <w:numPr>
          <w:ilvl w:val="2"/>
          <w:numId w:val="2"/>
        </w:numPr>
        <w:ind w:left="505" w:hanging="505"/>
      </w:pPr>
      <w:r>
        <w:t>Tema</w:t>
      </w:r>
    </w:p>
    <w:p w14:paraId="67ED0BEB">
      <w:pPr>
        <w:jc w:val="both"/>
      </w:pPr>
      <w:r>
        <w:t>Requisitos funcionales, no funcionales y selección de componentes de hardware propuestos por arquitecturas de proyectos agrícolas que utilicen tecnología IoT (Agro-IoT).</w:t>
      </w:r>
    </w:p>
    <w:p w14:paraId="50E723AD">
      <w:pPr>
        <w:pStyle w:val="5"/>
        <w:numPr>
          <w:ilvl w:val="2"/>
          <w:numId w:val="2"/>
        </w:numPr>
        <w:ind w:left="505" w:hanging="505"/>
      </w:pPr>
      <w:r>
        <w:t>Pregunta</w:t>
      </w:r>
    </w:p>
    <w:p w14:paraId="55832C1A">
      <w:pPr>
        <w:jc w:val="both"/>
        <w:rPr>
          <w:lang w:val="es-EC"/>
        </w:rPr>
      </w:pPr>
      <w:r>
        <w:rPr>
          <w:lang w:val="es-EC"/>
        </w:rPr>
        <w:t xml:space="preserve">¿Cuáles son los requisitos funcionales y no funcionales, junto con las tecnologías de hardware, planteados comúnmente en las arquitecturas de proyectos de agro-IoT? </w:t>
      </w:r>
    </w:p>
    <w:p w14:paraId="4565B403">
      <w:pPr>
        <w:pStyle w:val="5"/>
        <w:numPr>
          <w:ilvl w:val="2"/>
          <w:numId w:val="2"/>
        </w:numPr>
        <w:ind w:left="505" w:hanging="505"/>
      </w:pPr>
      <w:r>
        <w:t>Base de datos</w:t>
      </w:r>
    </w:p>
    <w:p w14:paraId="30EE85D7">
      <w:pPr>
        <w:jc w:val="both"/>
      </w:pPr>
      <w:r>
        <w:t>Las principales bases de datos científicas a considerar para la extracción de literatura son:</w:t>
      </w:r>
    </w:p>
    <w:p w14:paraId="29955725">
      <w:pPr>
        <w:pStyle w:val="22"/>
        <w:numPr>
          <w:ilvl w:val="0"/>
          <w:numId w:val="3"/>
        </w:numPr>
        <w:jc w:val="both"/>
      </w:pPr>
      <w:r>
        <w:t xml:space="preserve">Science Direct </w:t>
      </w:r>
    </w:p>
    <w:p w14:paraId="039C563B">
      <w:pPr>
        <w:pStyle w:val="22"/>
        <w:numPr>
          <w:ilvl w:val="0"/>
          <w:numId w:val="3"/>
        </w:numPr>
        <w:jc w:val="both"/>
      </w:pPr>
      <w:r>
        <w:t>IEEE Xplore</w:t>
      </w:r>
    </w:p>
    <w:p w14:paraId="3436F5DF">
      <w:pPr>
        <w:pStyle w:val="22"/>
        <w:numPr>
          <w:ilvl w:val="0"/>
          <w:numId w:val="3"/>
        </w:numPr>
        <w:jc w:val="both"/>
      </w:pPr>
      <w:r>
        <w:t>Springer Nature Link</w:t>
      </w:r>
    </w:p>
    <w:p w14:paraId="0000005D">
      <w:pPr>
        <w:pStyle w:val="5"/>
        <w:numPr>
          <w:ilvl w:val="2"/>
          <w:numId w:val="2"/>
        </w:numPr>
        <w:ind w:left="505" w:hanging="505"/>
      </w:pPr>
      <w:r>
        <w:t>Estrategia de búsqueda</w:t>
      </w:r>
    </w:p>
    <w:p w14:paraId="0366677A">
      <w:pPr>
        <w:jc w:val="both"/>
      </w:pPr>
      <w:r>
        <w:t xml:space="preserve">Se usará la estrategia de una cadena de búsqueda (Search String) formada por las palabras clave derivadas de la pregunta de investigación y conectores booleanos. </w:t>
      </w:r>
    </w:p>
    <w:p w14:paraId="1A43EF60">
      <w:pPr>
        <w:jc w:val="both"/>
      </w:pPr>
      <w:r>
        <w:t xml:space="preserve">Las palabras claves seleccionados son: </w:t>
      </w:r>
    </w:p>
    <w:p w14:paraId="2B74250D">
      <w:pPr>
        <w:jc w:val="both"/>
      </w:pPr>
      <w:r>
        <w:t>IoT, Internet of Things, Agriculture, Smart Farming, Smart Agriculture, Agro-IoT, funcional Requeriments, Architecture, Hardware.</w:t>
      </w:r>
    </w:p>
    <w:p w14:paraId="22B9FD4B">
      <w:pPr>
        <w:jc w:val="both"/>
      </w:pPr>
      <w:r>
        <w:t>La cadena base establecida es:</w:t>
      </w:r>
    </w:p>
    <w:p w14:paraId="63662E6F">
      <w:pPr>
        <w:jc w:val="both"/>
      </w:pPr>
      <w:r>
        <w:t>("IoT" OR "Internet of Things") AND ("Agriculture" OR "Smart Farming" OR "Agro-IoT") AND ("functional requirements" AND "Architecture" AND "Hardware")</w:t>
      </w:r>
    </w:p>
    <w:p w14:paraId="5CBD142C">
      <w:pPr>
        <w:pStyle w:val="3"/>
        <w:numPr>
          <w:ilvl w:val="1"/>
          <w:numId w:val="1"/>
        </w:numPr>
        <w:ind w:left="431" w:hanging="431"/>
      </w:pPr>
      <w:bookmarkStart w:id="8" w:name="_Toc241589452"/>
      <w:r>
        <w:t>Realización de la Revisión</w:t>
      </w:r>
      <w:bookmarkEnd w:id="8"/>
    </w:p>
    <w:p w14:paraId="406C4673">
      <w:pPr>
        <w:jc w:val="both"/>
      </w:pPr>
      <w:r>
        <w:t>Posteriormente se realiza la ejecución de la revisión aplicando la estrategia definida sobre los motores de búsqueda seleccionados.</w:t>
      </w:r>
    </w:p>
    <w:p w14:paraId="41EAD7AD">
      <w:pPr>
        <w:pStyle w:val="22"/>
        <w:keepNext/>
        <w:keepLines/>
        <w:numPr>
          <w:ilvl w:val="1"/>
          <w:numId w:val="2"/>
        </w:numPr>
        <w:contextualSpacing w:val="0"/>
        <w:outlineLvl w:val="3"/>
        <w:rPr>
          <w:b/>
          <w:vanish/>
          <w:sz w:val="24"/>
          <w:szCs w:val="24"/>
        </w:rPr>
      </w:pPr>
    </w:p>
    <w:p w14:paraId="6D2D6425">
      <w:pPr>
        <w:pStyle w:val="5"/>
        <w:numPr>
          <w:ilvl w:val="2"/>
          <w:numId w:val="2"/>
        </w:numPr>
        <w:ind w:left="504"/>
      </w:pPr>
      <w:r>
        <w:t>Ejecución de la búsqueda</w:t>
      </w:r>
    </w:p>
    <w:p w14:paraId="30B5B5AD">
      <w:pPr>
        <w:jc w:val="both"/>
      </w:pPr>
      <w:r>
        <w:t>La ejecución de la cadena de búsqueda se aplicó en las bases de datos mencionadas filtrando los resultados para que las palabras clave coincidan en el título, resumen (abstract) o palabras clave de los documentos.</w:t>
      </w:r>
    </w:p>
    <w:p w14:paraId="34FE7CB1">
      <w:pPr>
        <w:pStyle w:val="5"/>
        <w:numPr>
          <w:ilvl w:val="2"/>
          <w:numId w:val="2"/>
        </w:numPr>
        <w:ind w:left="505" w:hanging="505"/>
      </w:pPr>
      <w:r>
        <w:t>Resultados de la búsqueda</w:t>
      </w:r>
    </w:p>
    <w:p w14:paraId="365A9FC8">
      <w:pPr>
        <w:jc w:val="both"/>
      </w:pPr>
      <w:r>
        <w:t>Los resultados iniciales (realizada el 20/09/2026) de la búsqueda sin aplicar filtros profundos son los siguientes:</w:t>
      </w:r>
    </w:p>
    <w:p w14:paraId="66356737">
      <w:pPr>
        <w:pStyle w:val="22"/>
        <w:numPr>
          <w:ilvl w:val="0"/>
          <w:numId w:val="3"/>
        </w:numPr>
        <w:jc w:val="both"/>
      </w:pPr>
      <w:r>
        <w:t xml:space="preserve">ScienceDirect: </w:t>
      </w:r>
    </w:p>
    <w:p w14:paraId="2C088FD4">
      <w:pPr>
        <w:jc w:val="both"/>
      </w:pPr>
      <w:r>
        <w:t xml:space="preserve">La cadena especifica utilizada para esta base de datos fue: </w:t>
      </w:r>
    </w:p>
    <w:p w14:paraId="59FE6015">
      <w:pPr>
        <w:jc w:val="both"/>
      </w:pPr>
      <w:r>
        <w:t xml:space="preserve">("IoT" OR "Internet of Things") AND ("Agriculture" OR "Smart Farming" OR "Agro-IoT") AND ("functional requirements" AND "Architecture" AND "Hardware") </w:t>
      </w:r>
    </w:p>
    <w:p w14:paraId="6FD42D7B">
      <w:pPr>
        <w:jc w:val="both"/>
      </w:pPr>
      <w:r>
        <w:t>Con la cual se obtuvo: 323 resultados</w:t>
      </w:r>
    </w:p>
    <w:p w14:paraId="3B1D1738">
      <w:pPr>
        <w:jc w:val="center"/>
      </w:pPr>
      <w:r>
        <w:drawing>
          <wp:inline distT="0" distB="0" distL="0" distR="0">
            <wp:extent cx="5537200" cy="2514600"/>
            <wp:effectExtent l="0" t="0" r="6350" b="0"/>
            <wp:docPr id="1309816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16314" name="Imagen 1"/>
                    <pic:cNvPicPr>
                      <a:picLocks noChangeAspect="1"/>
                    </pic:cNvPicPr>
                  </pic:nvPicPr>
                  <pic:blipFill>
                    <a:blip r:embed="rId7"/>
                    <a:stretch>
                      <a:fillRect/>
                    </a:stretch>
                  </pic:blipFill>
                  <pic:spPr>
                    <a:xfrm>
                      <a:off x="0" y="0"/>
                      <a:ext cx="5543332" cy="2517184"/>
                    </a:xfrm>
                    <a:prstGeom prst="rect">
                      <a:avLst/>
                    </a:prstGeom>
                  </pic:spPr>
                </pic:pic>
              </a:graphicData>
            </a:graphic>
          </wp:inline>
        </w:drawing>
      </w:r>
    </w:p>
    <w:p w14:paraId="46F389D8"/>
    <w:p w14:paraId="3ECD33C0">
      <w:pPr>
        <w:pStyle w:val="22"/>
        <w:numPr>
          <w:ilvl w:val="0"/>
          <w:numId w:val="3"/>
        </w:numPr>
      </w:pPr>
      <w:r>
        <w:t xml:space="preserve">IEEE xplore: </w:t>
      </w:r>
    </w:p>
    <w:p w14:paraId="5697BE10">
      <w:pPr>
        <w:jc w:val="both"/>
      </w:pPr>
      <w:r>
        <w:t xml:space="preserve">La cadena especifica utilizada para esta base de datos fue: </w:t>
      </w:r>
    </w:p>
    <w:p w14:paraId="16635AC9">
      <w:pPr>
        <w:jc w:val="both"/>
      </w:pPr>
      <w:r>
        <w:t>("IoT" OR "Internet of Things") AND ("Agriculture" OR "Smart Farming" OR "Agro-IoT") AND ("functional requirements" AND "Architecture" OR "Hardware")</w:t>
      </w:r>
    </w:p>
    <w:p w14:paraId="25338BD4">
      <w:pPr>
        <w:jc w:val="both"/>
      </w:pPr>
      <w:r>
        <w:t>Con la cual se obtuvo: 981 resultados</w:t>
      </w:r>
    </w:p>
    <w:p w14:paraId="305DAE46">
      <w:pPr>
        <w:jc w:val="center"/>
      </w:pPr>
      <w:r>
        <w:drawing>
          <wp:inline distT="0" distB="0" distL="0" distR="0">
            <wp:extent cx="5783580" cy="2622550"/>
            <wp:effectExtent l="0" t="0" r="7620" b="6350"/>
            <wp:docPr id="954541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41540" name="Imagen 1"/>
                    <pic:cNvPicPr>
                      <a:picLocks noChangeAspect="1"/>
                    </pic:cNvPicPr>
                  </pic:nvPicPr>
                  <pic:blipFill>
                    <a:blip r:embed="rId8"/>
                    <a:stretch>
                      <a:fillRect/>
                    </a:stretch>
                  </pic:blipFill>
                  <pic:spPr>
                    <a:xfrm>
                      <a:off x="0" y="0"/>
                      <a:ext cx="5794785" cy="2628159"/>
                    </a:xfrm>
                    <a:prstGeom prst="rect">
                      <a:avLst/>
                    </a:prstGeom>
                  </pic:spPr>
                </pic:pic>
              </a:graphicData>
            </a:graphic>
          </wp:inline>
        </w:drawing>
      </w:r>
    </w:p>
    <w:p w14:paraId="0E1CD834">
      <w:pPr>
        <w:pStyle w:val="22"/>
      </w:pPr>
    </w:p>
    <w:p w14:paraId="31662307">
      <w:pPr>
        <w:pStyle w:val="22"/>
        <w:numPr>
          <w:ilvl w:val="0"/>
          <w:numId w:val="3"/>
        </w:numPr>
      </w:pPr>
      <w:r>
        <w:t xml:space="preserve">Springer Nature link: </w:t>
      </w:r>
    </w:p>
    <w:p w14:paraId="6A5B8910">
      <w:pPr>
        <w:jc w:val="both"/>
      </w:pPr>
      <w:r>
        <w:t xml:space="preserve">La cadena especifica utilizada para esta base de datos fue: </w:t>
      </w:r>
    </w:p>
    <w:p w14:paraId="54A61C67">
      <w:pPr>
        <w:jc w:val="both"/>
      </w:pPr>
      <w:r>
        <w:t>("IoT" OR "Internet of Things") AND ("Agriculture" OR "Smart Farming" OR "Agro-IoT") AND ("functional requirements" AND "Architecture" AND "Hardware")</w:t>
      </w:r>
    </w:p>
    <w:p w14:paraId="039C8359">
      <w:pPr>
        <w:jc w:val="both"/>
      </w:pPr>
      <w:r>
        <w:t>Con la cual se obtuvo: 241 resultados</w:t>
      </w:r>
    </w:p>
    <w:p w14:paraId="267AECB7">
      <w:pPr>
        <w:jc w:val="center"/>
      </w:pPr>
      <w:r>
        <w:drawing>
          <wp:inline distT="0" distB="0" distL="0" distR="0">
            <wp:extent cx="5349240" cy="2454275"/>
            <wp:effectExtent l="0" t="0" r="3810" b="3175"/>
            <wp:docPr id="1893229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29101" name="Imagen 1"/>
                    <pic:cNvPicPr>
                      <a:picLocks noChangeAspect="1"/>
                    </pic:cNvPicPr>
                  </pic:nvPicPr>
                  <pic:blipFill>
                    <a:blip r:embed="rId9"/>
                    <a:stretch>
                      <a:fillRect/>
                    </a:stretch>
                  </pic:blipFill>
                  <pic:spPr>
                    <a:xfrm>
                      <a:off x="0" y="0"/>
                      <a:ext cx="5355613" cy="2457448"/>
                    </a:xfrm>
                    <a:prstGeom prst="rect">
                      <a:avLst/>
                    </a:prstGeom>
                  </pic:spPr>
                </pic:pic>
              </a:graphicData>
            </a:graphic>
          </wp:inline>
        </w:drawing>
      </w:r>
    </w:p>
    <w:p w14:paraId="345F1605"/>
    <w:p w14:paraId="51244826">
      <w:pPr>
        <w:pStyle w:val="5"/>
        <w:numPr>
          <w:ilvl w:val="2"/>
          <w:numId w:val="2"/>
        </w:numPr>
        <w:ind w:left="505" w:hanging="505"/>
      </w:pPr>
      <w:r>
        <w:t>Aplicación de criterios de exclusión e inclusión</w:t>
      </w:r>
    </w:p>
    <w:p w14:paraId="1F7DB272">
      <w:pPr>
        <w:jc w:val="both"/>
        <w:rPr>
          <w:lang w:val="es-EC"/>
        </w:rPr>
      </w:pPr>
      <w:r>
        <w:t>De</w:t>
      </w:r>
      <w:r>
        <w:rPr>
          <w:lang w:val="es-EC"/>
        </w:rPr>
        <w:t xml:space="preserve"> los resultados obtenidos, los documentos se someterán a un filtro utilizando los siguientes criterios para refinar la información: </w:t>
      </w:r>
    </w:p>
    <w:p w14:paraId="34338B64">
      <w:pPr>
        <w:numPr>
          <w:ilvl w:val="0"/>
          <w:numId w:val="4"/>
        </w:numPr>
        <w:jc w:val="both"/>
        <w:rPr>
          <w:lang w:val="es-EC"/>
        </w:rPr>
      </w:pPr>
      <w:r>
        <w:rPr>
          <w:i/>
          <w:iCs/>
          <w:lang w:val="es-EC"/>
        </w:rPr>
        <w:t>Criterios de Inclusión:</w:t>
      </w:r>
      <w:r>
        <w:rPr>
          <w:lang w:val="es-EC"/>
        </w:rPr>
        <w:t xml:space="preserve"> Artículos publicados en los últimos 5 años (2022-2026), artículos de acceso abierto, artículos en idioma español o inglés, </w:t>
      </w:r>
    </w:p>
    <w:p w14:paraId="38775C36">
      <w:pPr>
        <w:numPr>
          <w:ilvl w:val="0"/>
          <w:numId w:val="4"/>
        </w:numPr>
        <w:jc w:val="both"/>
        <w:rPr>
          <w:lang w:val="es-EC"/>
        </w:rPr>
      </w:pPr>
      <w:r>
        <w:rPr>
          <w:i/>
          <w:iCs/>
          <w:lang w:val="es-EC"/>
        </w:rPr>
        <w:t>Criterios de Exclusión:</w:t>
      </w:r>
      <w:r>
        <w:rPr>
          <w:lang w:val="es-EC"/>
        </w:rPr>
        <w:t xml:space="preserve"> Documentos que sean solo resúmenes sin acceso al texto completo.</w:t>
      </w:r>
    </w:p>
    <w:p w14:paraId="45FE4222">
      <w:pPr>
        <w:jc w:val="both"/>
      </w:pPr>
      <w:r>
        <w:t xml:space="preserve">Como resultado de la aplicación de estos filtros tenemos los siguientes resultados en cada base de datos: </w:t>
      </w:r>
    </w:p>
    <w:p w14:paraId="619842FD">
      <w:pPr>
        <w:pStyle w:val="22"/>
        <w:numPr>
          <w:ilvl w:val="0"/>
          <w:numId w:val="3"/>
        </w:numPr>
        <w:jc w:val="both"/>
      </w:pPr>
      <w:r>
        <w:t>ScienceDirect: 95 documentos</w:t>
      </w:r>
    </w:p>
    <w:p w14:paraId="364F11E1"/>
    <w:p w14:paraId="2B569979">
      <w:r>
        <w:drawing>
          <wp:inline distT="0" distB="0" distL="0" distR="0">
            <wp:extent cx="5733415" cy="2609850"/>
            <wp:effectExtent l="0" t="0" r="635" b="0"/>
            <wp:docPr id="1544994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94835" name="Imagen 1"/>
                    <pic:cNvPicPr>
                      <a:picLocks noChangeAspect="1"/>
                    </pic:cNvPicPr>
                  </pic:nvPicPr>
                  <pic:blipFill>
                    <a:blip r:embed="rId10"/>
                    <a:stretch>
                      <a:fillRect/>
                    </a:stretch>
                  </pic:blipFill>
                  <pic:spPr>
                    <a:xfrm>
                      <a:off x="0" y="0"/>
                      <a:ext cx="5733415" cy="2609850"/>
                    </a:xfrm>
                    <a:prstGeom prst="rect">
                      <a:avLst/>
                    </a:prstGeom>
                  </pic:spPr>
                </pic:pic>
              </a:graphicData>
            </a:graphic>
          </wp:inline>
        </w:drawing>
      </w:r>
    </w:p>
    <w:p w14:paraId="525FAFA1">
      <w:pPr>
        <w:pStyle w:val="22"/>
        <w:numPr>
          <w:ilvl w:val="0"/>
          <w:numId w:val="3"/>
        </w:numPr>
      </w:pPr>
      <w:r>
        <w:t>IEEE Xplore: 16 documentos</w:t>
      </w:r>
    </w:p>
    <w:p w14:paraId="43671F94">
      <w:r>
        <w:drawing>
          <wp:inline distT="0" distB="0" distL="0" distR="0">
            <wp:extent cx="5733415" cy="2600325"/>
            <wp:effectExtent l="0" t="0" r="635" b="9525"/>
            <wp:docPr id="1547907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07483" name="Imagen 1"/>
                    <pic:cNvPicPr>
                      <a:picLocks noChangeAspect="1"/>
                    </pic:cNvPicPr>
                  </pic:nvPicPr>
                  <pic:blipFill>
                    <a:blip r:embed="rId11"/>
                    <a:stretch>
                      <a:fillRect/>
                    </a:stretch>
                  </pic:blipFill>
                  <pic:spPr>
                    <a:xfrm>
                      <a:off x="0" y="0"/>
                      <a:ext cx="5733415" cy="2600325"/>
                    </a:xfrm>
                    <a:prstGeom prst="rect">
                      <a:avLst/>
                    </a:prstGeom>
                  </pic:spPr>
                </pic:pic>
              </a:graphicData>
            </a:graphic>
          </wp:inline>
        </w:drawing>
      </w:r>
    </w:p>
    <w:p w14:paraId="7E41DC2B">
      <w:pPr>
        <w:pStyle w:val="22"/>
        <w:numPr>
          <w:ilvl w:val="0"/>
          <w:numId w:val="3"/>
        </w:numPr>
        <w:jc w:val="both"/>
      </w:pPr>
      <w:r>
        <w:t>Springer Nature link:  33 Resultados</w:t>
      </w:r>
    </w:p>
    <w:p w14:paraId="35B21FB7">
      <w:r>
        <w:drawing>
          <wp:inline distT="0" distB="0" distL="0" distR="0">
            <wp:extent cx="5733415" cy="2603500"/>
            <wp:effectExtent l="0" t="0" r="635" b="6350"/>
            <wp:docPr id="1843509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09291" name="Imagen 1"/>
                    <pic:cNvPicPr>
                      <a:picLocks noChangeAspect="1"/>
                    </pic:cNvPicPr>
                  </pic:nvPicPr>
                  <pic:blipFill>
                    <a:blip r:embed="rId12"/>
                    <a:stretch>
                      <a:fillRect/>
                    </a:stretch>
                  </pic:blipFill>
                  <pic:spPr>
                    <a:xfrm>
                      <a:off x="0" y="0"/>
                      <a:ext cx="5733415" cy="2603500"/>
                    </a:xfrm>
                    <a:prstGeom prst="rect">
                      <a:avLst/>
                    </a:prstGeom>
                  </pic:spPr>
                </pic:pic>
              </a:graphicData>
            </a:graphic>
          </wp:inline>
        </w:drawing>
      </w:r>
    </w:p>
    <w:p w14:paraId="638658C6">
      <w:pPr>
        <w:jc w:val="both"/>
      </w:pPr>
      <w:r>
        <w:t xml:space="preserve">Luego de pasar los artículos por el primer filtro, es necesario pasar por un segundo filtro manual, en donde se lea de forma rápida el resumen de cada uno de los artículos, con el fin de identificar los artículos realmente útiles para la extracción de requisitos, en este paso también se eliminan los artículos duplicados. </w:t>
      </w:r>
    </w:p>
    <w:p w14:paraId="68E06528">
      <w:pPr>
        <w:jc w:val="both"/>
      </w:pPr>
      <w:r>
        <w:t xml:space="preserve">El total de artículos después de este segundo filtro son los siguientes: </w:t>
      </w:r>
    </w:p>
    <w:p w14:paraId="48B6133C">
      <w:pPr>
        <w:jc w:val="both"/>
      </w:pPr>
      <w:r>
        <w:t xml:space="preserve">Science Direct: </w:t>
      </w:r>
      <w:r>
        <w:rPr>
          <w:rFonts w:hint="default"/>
          <w:lang w:val="es-ES"/>
        </w:rPr>
        <w:t>2</w:t>
      </w:r>
      <w:r>
        <w:t>6 Resultados</w:t>
      </w:r>
    </w:p>
    <w:p w14:paraId="615F5D8A">
      <w:pPr>
        <w:jc w:val="both"/>
      </w:pPr>
      <w:r>
        <w:t>IEEE Xplore: 7 Resultados</w:t>
      </w:r>
    </w:p>
    <w:p w14:paraId="338A0766">
      <w:pPr>
        <w:jc w:val="both"/>
      </w:pPr>
      <w:r>
        <w:t xml:space="preserve">Springer Nature Link: </w:t>
      </w:r>
      <w:r>
        <w:rPr>
          <w:rFonts w:hint="default"/>
          <w:lang w:val="es-ES"/>
        </w:rPr>
        <w:t>1</w:t>
      </w:r>
      <w:r>
        <w:t>2 Resultados</w:t>
      </w:r>
      <w:bookmarkStart w:id="16" w:name="_GoBack"/>
      <w:bookmarkEnd w:id="16"/>
    </w:p>
    <w:p w14:paraId="57B196D2">
      <w:pPr>
        <w:jc w:val="both"/>
      </w:pPr>
      <w:r>
        <w:t xml:space="preserve">Finalmente, con los artículos seleccionados, se procede a aplicar un tercer filtro donde se lee de forma más detallada cada documento, este filtro final nos dará los documentos finales para la extracción de requisitos, para este último filtro se excluyera proyectos que apliquen tecnologías aisladas a las del sistema planteado, (IA, Cloud, etc) y que no aporten nada a la definición de requisitos o componentes. </w:t>
      </w:r>
    </w:p>
    <w:p w14:paraId="30622802">
      <w:pPr>
        <w:jc w:val="both"/>
      </w:pPr>
      <w:r>
        <w:t xml:space="preserve">El total de artículos después de este segundo filtro son los siguientes: </w:t>
      </w:r>
    </w:p>
    <w:p w14:paraId="40A59C82">
      <w:pPr>
        <w:jc w:val="both"/>
      </w:pPr>
      <w:r>
        <w:t>Science Direct: 6 Resultados</w:t>
      </w:r>
    </w:p>
    <w:p w14:paraId="2C720184">
      <w:pPr>
        <w:jc w:val="both"/>
      </w:pPr>
      <w:r>
        <w:t>IEEE Xplore: 3 Resultados</w:t>
      </w:r>
    </w:p>
    <w:p w14:paraId="2CB0FA13">
      <w:pPr>
        <w:jc w:val="both"/>
      </w:pPr>
      <w:r>
        <w:t>Springer Nature Link: 4 Resultados</w:t>
      </w:r>
    </w:p>
    <w:p w14:paraId="1249B2EF"/>
    <w:p w14:paraId="686AAFA3">
      <w:pPr>
        <w:pStyle w:val="3"/>
        <w:numPr>
          <w:ilvl w:val="1"/>
          <w:numId w:val="1"/>
        </w:numPr>
        <w:ind w:left="431" w:hanging="431"/>
      </w:pPr>
      <w:r>
        <w:t xml:space="preserve"> </w:t>
      </w:r>
      <w:bookmarkStart w:id="9" w:name="_Toc241589453"/>
      <w:r>
        <w:t>Análisis</w:t>
      </w:r>
      <w:bookmarkEnd w:id="9"/>
    </w:p>
    <w:p w14:paraId="5DF890C5">
      <w:pPr>
        <w:pStyle w:val="22"/>
        <w:keepNext/>
        <w:keepLines/>
        <w:numPr>
          <w:ilvl w:val="1"/>
          <w:numId w:val="2"/>
        </w:numPr>
        <w:contextualSpacing w:val="0"/>
        <w:outlineLvl w:val="3"/>
        <w:rPr>
          <w:b/>
          <w:vanish/>
          <w:sz w:val="24"/>
          <w:szCs w:val="24"/>
        </w:rPr>
      </w:pPr>
    </w:p>
    <w:p w14:paraId="2ED33413">
      <w:pPr>
        <w:pStyle w:val="5"/>
        <w:numPr>
          <w:ilvl w:val="2"/>
          <w:numId w:val="2"/>
        </w:numPr>
        <w:ind w:left="504"/>
      </w:pPr>
      <w:r>
        <w:t>Extraer información</w:t>
      </w:r>
    </w:p>
    <w:p w14:paraId="1C0EE2AA">
      <w:pPr>
        <w:jc w:val="both"/>
      </w:pPr>
      <w:r>
        <w:t>Finalmente de todo el proceso de filtrado, se procedió a la lectura de los artículos seleccionados para analizar la información de cada uno de ellos. La extracción se centró en identificar los microcontroladores usados (ej. nodos basados en ESP32), los protocolos de mensajería (ej. MQTT), las variables agroclimáticas medidas (humedad, temperatura, pH) y las métricas de rendimiento.</w:t>
      </w:r>
    </w:p>
    <w:p w14:paraId="3795D7C1">
      <w:pPr>
        <w:pStyle w:val="5"/>
        <w:numPr>
          <w:ilvl w:val="2"/>
          <w:numId w:val="2"/>
        </w:numPr>
        <w:ind w:left="505" w:hanging="505"/>
      </w:pPr>
      <w:r>
        <w:t>Organizar información</w:t>
      </w:r>
    </w:p>
    <w:p w14:paraId="7EA41D84">
      <w:pPr>
        <w:jc w:val="both"/>
      </w:pPr>
      <w:r>
        <w:t>Finalmente, se armó una tabla con los artículos finales seleccionados por cada base de datos, los cuales son organizados por las siguientes categorías fundamentales para la extracción de requisitos:</w:t>
      </w:r>
    </w:p>
    <w:p w14:paraId="4E8BE28D"/>
    <w:tbl>
      <w:tblPr>
        <w:tblStyle w:val="18"/>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5"/>
        <w:gridCol w:w="1699"/>
        <w:gridCol w:w="2126"/>
        <w:gridCol w:w="2126"/>
        <w:gridCol w:w="2127"/>
      </w:tblGrid>
      <w:tr w14:paraId="5FB66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tcPr>
          <w:p w14:paraId="24739EC7">
            <w:pPr>
              <w:spacing w:before="0" w:after="0" w:line="240" w:lineRule="auto"/>
            </w:pPr>
            <w:r>
              <w:t>Base de datos</w:t>
            </w:r>
          </w:p>
        </w:tc>
        <w:tc>
          <w:tcPr>
            <w:tcW w:w="1699" w:type="dxa"/>
          </w:tcPr>
          <w:p w14:paraId="029EF969">
            <w:pPr>
              <w:spacing w:before="0" w:after="0" w:line="240" w:lineRule="auto"/>
            </w:pPr>
            <w:r>
              <w:t xml:space="preserve">Titulo del Articulo </w:t>
            </w:r>
          </w:p>
        </w:tc>
        <w:tc>
          <w:tcPr>
            <w:tcW w:w="2126" w:type="dxa"/>
          </w:tcPr>
          <w:p w14:paraId="27D2DEB4">
            <w:pPr>
              <w:spacing w:before="0" w:after="0" w:line="240" w:lineRule="auto"/>
            </w:pPr>
            <w:r>
              <w:t>Objetivo del proyecto</w:t>
            </w:r>
          </w:p>
        </w:tc>
        <w:tc>
          <w:tcPr>
            <w:tcW w:w="2126" w:type="dxa"/>
          </w:tcPr>
          <w:p w14:paraId="56EED58A">
            <w:pPr>
              <w:spacing w:before="0" w:after="0" w:line="240" w:lineRule="auto"/>
            </w:pPr>
            <w:r>
              <w:t>Hardware utilizado</w:t>
            </w:r>
          </w:p>
        </w:tc>
        <w:tc>
          <w:tcPr>
            <w:tcW w:w="2127" w:type="dxa"/>
          </w:tcPr>
          <w:p w14:paraId="5923EEAE">
            <w:pPr>
              <w:spacing w:before="0" w:after="0" w:line="240" w:lineRule="auto"/>
            </w:pPr>
            <w:r>
              <w:t>Requisitos identificados</w:t>
            </w:r>
          </w:p>
        </w:tc>
      </w:tr>
      <w:tr w14:paraId="7B85E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vMerge w:val="restart"/>
          </w:tcPr>
          <w:p w14:paraId="7319DA5A">
            <w:pPr>
              <w:spacing w:before="0" w:after="0" w:line="240" w:lineRule="auto"/>
              <w:jc w:val="center"/>
            </w:pPr>
            <w:r>
              <w:t>Science Direct:</w:t>
            </w:r>
          </w:p>
        </w:tc>
        <w:tc>
          <w:tcPr>
            <w:tcW w:w="1699" w:type="dxa"/>
          </w:tcPr>
          <w:p w14:paraId="41DAA2FC">
            <w:pPr>
              <w:spacing w:before="0" w:after="0" w:line="240" w:lineRule="auto"/>
            </w:pPr>
            <w:r>
              <w:t xml:space="preserve">Technical validation of the Predictive Optimal Water and Energy Irrigation (POWEIr) controller for solar-powered drip irrigation </w:t>
            </w:r>
            <w:r>
              <w:fldChar w:fldCharType="begin"/>
            </w:r>
            <w:r>
              <w:instrText xml:space="preserve"> ADDIN ZOTERO_ITEM CSL_CITATION {"citationID":"7A1sZbWj","properties":{"unsorted":false,"formattedCitation":"[4]","plainCitation":"[4]","noteIndex":0},"citationItems":[{"id":3935,"uris":["http://zotero.org/users/16907913/items/AXFIDRQW"],"itemData":{"id":3935,"type":"article-journal","abstract":"To feed the growing population, agriculture production must be intensiﬁed using existing resources. Sustainable agriculture intensiﬁcation is particularly important in low and middle income countries (LMICs), which disproportionately experience food insecurity. This study evaluates the performance of a precision irrigation controller for solar-powered drip irrigation (SPDI) under real-world operating conditions. SPDI has the potential to increase water use eﬃciency and reduce fossil fuel use for irrigation. Precision irrigation technology could lower SPDI operating costs and enable sustainable irrigation practices among farmers with varied expertise. Despite these beneﬁts, the adoption of SPDI and precision irrigation is limited in LMICs due to high investment costs and system complexity. Previous work proposed the Predictive Optimal Water and Energy Irrigation (POWEIr) controller as a precision irrigation solution that could meet the needs of farmers in resource-constrained contexts. This study quantiﬁes the POWEIr controller performance in terms of water and energy savings, irrigation reliability, and system cost. The controller reduced water and energy use compared to typical farmer practice by up to 44% and 43%, respectively, while maintaining crop yield over three growing seasons. The controller used solar power for irrigation, but relied on a buﬀer battery to execute irrigation schedules. A yield loss sensitivity analysis found that increasing the controller’s use of solar energy by about 40% would have been suﬃcient to reliably irrigate with solar alone. These results suggest that the POWEIr controller could enable reliable, low-cost SPDI systems, and if adopted, could make sustainable irrigation practices more accessible to farmers in LMICs.","container-title":"Smart Agricultural Technology","DOI":"10.1016/j.atech.2026.102147","ISSN":"27723755","journalAbbreviation":"Smart Agricultural Technology","language":"en","page":"102147","source":"DOI.org (Crossref)","title":"Technical validation of the Predictive Optimal Water and Energy Irrigation (POWEIr) controller for solar-powered drip irrigation","volume":"14","author":[{"family":"Sheline","given":"Carolyn"},{"family":"Grant","given":"Fiona"},{"family":"Van De Zande","given":"Georgia"},{"family":"Pratt","given":"Shane"},{"family":"Talozi","given":"Samer"},{"family":"Namarneh","given":"Ammar"},{"family":"Mansouri","given":"Anas"},{"family":"Wifaya","given":"Ahmed"},{"family":"Nangia","given":"Vinay"},{"family":"Amrose","given":"Susan"},{"family":"Winter V","given":"Amos G."}],"issued":{"date-parts":[["2026",8]]}}}],"schema":"https://github.com/citation-style-language/schema/raw/master/csl-citation.json"} </w:instrText>
            </w:r>
            <w:r>
              <w:fldChar w:fldCharType="separate"/>
            </w:r>
            <w:r>
              <w:rPr>
                <w:rFonts w:cs="Times New Roman"/>
              </w:rPr>
              <w:t>[4]</w:t>
            </w:r>
            <w:r>
              <w:fldChar w:fldCharType="end"/>
            </w:r>
            <w:r>
              <w:t>.</w:t>
            </w:r>
          </w:p>
        </w:tc>
        <w:tc>
          <w:tcPr>
            <w:tcW w:w="2126" w:type="dxa"/>
          </w:tcPr>
          <w:p w14:paraId="7BAB73C9">
            <w:pPr>
              <w:spacing w:before="0" w:after="0" w:line="240" w:lineRule="auto"/>
            </w:pPr>
            <w:r>
              <w:t>Controlar y optimizar de forma predictiva y coordinada el consumo de agua y energía mediante energía solar fotovoltaica en sistemas de riego por goteo</w:t>
            </w:r>
          </w:p>
        </w:tc>
        <w:tc>
          <w:tcPr>
            <w:tcW w:w="2126" w:type="dxa"/>
          </w:tcPr>
          <w:p w14:paraId="749CF72C">
            <w:pPr>
              <w:spacing w:before="0" w:after="0" w:line="240" w:lineRule="auto"/>
            </w:pPr>
            <w:r>
              <w:t>PLC CLICK PLUS, estación meteorológica de bajo costo, sensor de presión, inversor/MPPT Victron (Cerbo GX, SmartSolar), VFD DURApulse GS11N, paneles solares y baterías</w:t>
            </w:r>
          </w:p>
        </w:tc>
        <w:tc>
          <w:tcPr>
            <w:tcW w:w="2127" w:type="dxa"/>
          </w:tcPr>
          <w:p w14:paraId="34B22B72">
            <w:pPr>
              <w:spacing w:before="0" w:after="0" w:line="240" w:lineRule="auto"/>
              <w:rPr>
                <w:lang w:val="es-EC"/>
              </w:rPr>
            </w:pPr>
            <w:r>
              <w:t xml:space="preserve">• </w:t>
            </w:r>
            <w:r>
              <w:rPr>
                <w:lang w:val="es-EC"/>
              </w:rPr>
              <w:t>Se identificó la necesidad de permitir la alteración manual y controlada del riego para poder ejecutar pruebas de perturbación.</w:t>
            </w:r>
          </w:p>
          <w:p w14:paraId="32397D9F">
            <w:pPr>
              <w:spacing w:before="0" w:after="0" w:line="240" w:lineRule="auto"/>
              <w:rPr>
                <w:lang w:val="es-EC"/>
              </w:rPr>
            </w:pPr>
            <w:r>
              <w:t xml:space="preserve">• </w:t>
            </w:r>
            <w:r>
              <w:rPr>
                <w:lang w:val="es-EC"/>
              </w:rPr>
              <w:t>Se estableció como requisito indispensable la alta eficiencia energética en el hardware de campo.</w:t>
            </w:r>
          </w:p>
          <w:p w14:paraId="629501FE">
            <w:pPr>
              <w:spacing w:before="0" w:after="0" w:line="240" w:lineRule="auto"/>
              <w:rPr>
                <w:lang w:val="es-EC"/>
              </w:rPr>
            </w:pPr>
            <w:r>
              <w:t xml:space="preserve">• </w:t>
            </w:r>
            <w:r>
              <w:rPr>
                <w:lang w:val="es-EC"/>
              </w:rPr>
              <w:t>Se determinó la obligación de medir y optimizar las métricas de desempeño operacional del sistema.</w:t>
            </w:r>
          </w:p>
          <w:p w14:paraId="01A76751">
            <w:pPr>
              <w:spacing w:before="0" w:after="0" w:line="240" w:lineRule="auto"/>
            </w:pPr>
          </w:p>
        </w:tc>
      </w:tr>
      <w:tr w14:paraId="2B4FF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vMerge w:val="continue"/>
          </w:tcPr>
          <w:p w14:paraId="1D4413D8">
            <w:pPr>
              <w:spacing w:before="0" w:after="0" w:line="240" w:lineRule="auto"/>
            </w:pPr>
          </w:p>
        </w:tc>
        <w:tc>
          <w:tcPr>
            <w:tcW w:w="1699" w:type="dxa"/>
          </w:tcPr>
          <w:p w14:paraId="57BA0F92">
            <w:pPr>
              <w:spacing w:before="0" w:after="0" w:line="240" w:lineRule="auto"/>
            </w:pPr>
            <w:r>
              <w:t xml:space="preserve">The role of software architecture in smart agricultural systems: A systematic mapping study </w:t>
            </w:r>
            <w:r>
              <w:fldChar w:fldCharType="begin"/>
            </w:r>
            <w:r>
              <w:instrText xml:space="preserve"> ADDIN ZOTERO_ITEM CSL_CITATION {"citationID":"IHjfRsPF","properties":{"unsorted":false,"formattedCitation":"[5]","plainCitation":"[5]","noteIndex":0},"citationItems":[{"id":3933,"uris":["http://zotero.org/users/16907913/items/MDNEGNTY"],"itemData":{"id":3933,"type":"article-journal","abstract":"Software architecture forms the cornerstone for achieving and ensuring various software quality attributes. It encompasses the collected requirements of the product, serving as a blueprint that delineates quality features for all project stakeholders, along with methods for measurement and control. Despite the significant increase in IoTbased agricultural systems, there is a dearth of studies on the quality elements of their software architecture. To address this need, this study offers an overview of components and services tailored to address specific quality attributes pertinent to agriculture systems. It identifies, investigates, and presents quality attributes influencing the design of software architecture for IoT-based agriculture systems. This paper identified and discussed several quality attributes, including performance, scalability, flexibility, interoperability, productivity, extensibility, and security, and mapped them to corresponding components of the IoT-based agriculture software architecture. Also, several issues were identified and discussed for the software architecture quality of IoT-based agriculture systems, such as real-time processing and interoperability due to the various devices and protocols utilized in these systems. The findings of this study offer valuable insights for developing, executing, and refining IoT-based agricultural systems to fulfill the changing requirements of the agriculture industry.","container-title":"Smart Agricultural Technology","DOI":"10.1016/j.atech.2024.100523","ISSN":"27723755","journalAbbreviation":"Smart Agricultural Technology","language":"en","page":"100523","source":"DOI.org (Crossref)","title":"Quality attributes of software architecture in IoT-based agricultural systems","volume":"8","author":[{"family":"Mishra","given":"Alok"},{"family":"Alzoubi","given":"Yehia Ibrahim"},{"family":"Gavrilovic","given":"Nebojsa"}],"issued":{"date-parts":[["2024",8]]}}}],"schema":"https://github.com/citation-style-language/schema/raw/master/csl-citation.json"} </w:instrText>
            </w:r>
            <w:r>
              <w:fldChar w:fldCharType="separate"/>
            </w:r>
            <w:r>
              <w:rPr>
                <w:rFonts w:cs="Times New Roman"/>
              </w:rPr>
              <w:t>[5]</w:t>
            </w:r>
            <w:r>
              <w:fldChar w:fldCharType="end"/>
            </w:r>
            <w:r>
              <w:t>.</w:t>
            </w:r>
          </w:p>
        </w:tc>
        <w:tc>
          <w:tcPr>
            <w:tcW w:w="2126" w:type="dxa"/>
          </w:tcPr>
          <w:p w14:paraId="17F44688">
            <w:pPr>
              <w:spacing w:before="0" w:after="0" w:line="240" w:lineRule="auto"/>
            </w:pPr>
            <w:r>
              <w:t>Mapear y analizar el impacto de los atributos de calidad de la arquitectura de software (rendimiento, escalabilidad, interoperabilidad) en sistemas agrícolas IoT</w:t>
            </w:r>
          </w:p>
        </w:tc>
        <w:tc>
          <w:tcPr>
            <w:tcW w:w="2126" w:type="dxa"/>
          </w:tcPr>
          <w:p w14:paraId="114297DD">
            <w:pPr>
              <w:spacing w:before="0" w:after="0" w:line="240" w:lineRule="auto"/>
            </w:pPr>
            <w:r>
              <w:t>Microcontroladores de bajo costo, redes LoRaWAN, sensores IoT de campo y nodos/gateways de computación Edge/Fog/Cloud.</w:t>
            </w:r>
          </w:p>
        </w:tc>
        <w:tc>
          <w:tcPr>
            <w:tcW w:w="2127" w:type="dxa"/>
          </w:tcPr>
          <w:p w14:paraId="0608FF99">
            <w:pPr>
              <w:spacing w:before="0" w:after="0" w:line="240" w:lineRule="auto"/>
              <w:rPr>
                <w:lang w:val="es-EC"/>
              </w:rPr>
            </w:pPr>
            <w:r>
              <w:t xml:space="preserve">• </w:t>
            </w:r>
            <w:r>
              <w:rPr>
                <w:lang w:val="es-EC"/>
              </w:rPr>
              <w:t>Se detectó como requisito crítico diseñar redes capaces de soportar tráfico concurrente masivo sin saturarse.</w:t>
            </w:r>
          </w:p>
          <w:p w14:paraId="224252AC">
            <w:pPr>
              <w:spacing w:before="0" w:after="0" w:line="240" w:lineRule="auto"/>
              <w:rPr>
                <w:lang w:val="es-EC"/>
              </w:rPr>
            </w:pPr>
            <w:r>
              <w:t xml:space="preserve">• </w:t>
            </w:r>
            <w:r>
              <w:rPr>
                <w:lang w:val="es-EC"/>
              </w:rPr>
              <w:t>Se estableció la necesidad de optimizar el backend para evitar cuellos de botella durante el procesamiento.</w:t>
            </w:r>
          </w:p>
          <w:p w14:paraId="656A4BE7">
            <w:pPr>
              <w:spacing w:before="0" w:after="0" w:line="240" w:lineRule="auto"/>
              <w:rPr>
                <w:lang w:val="es-EC"/>
              </w:rPr>
            </w:pPr>
            <w:r>
              <w:t xml:space="preserve">• </w:t>
            </w:r>
            <w:r>
              <w:rPr>
                <w:lang w:val="es-EC"/>
              </w:rPr>
              <w:t>Se definió como requerimiento principal el uso de microcontroladores de bajo consumo.</w:t>
            </w:r>
          </w:p>
          <w:p w14:paraId="42C8C590">
            <w:pPr>
              <w:spacing w:before="0" w:after="0" w:line="240" w:lineRule="auto"/>
            </w:pPr>
          </w:p>
        </w:tc>
      </w:tr>
      <w:tr w14:paraId="0A8D9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vMerge w:val="continue"/>
          </w:tcPr>
          <w:p w14:paraId="5D8C83B9">
            <w:pPr>
              <w:spacing w:before="0" w:after="0" w:line="240" w:lineRule="auto"/>
            </w:pPr>
          </w:p>
        </w:tc>
        <w:tc>
          <w:tcPr>
            <w:tcW w:w="1699" w:type="dxa"/>
          </w:tcPr>
          <w:p w14:paraId="72A632E3">
            <w:pPr>
              <w:spacing w:before="0" w:after="0" w:line="240" w:lineRule="auto"/>
            </w:pPr>
            <w:r>
              <w:t>A taxonomy of Internet of Things systems testing: A literature review and industry survey</w:t>
            </w:r>
            <w:r>
              <w:fldChar w:fldCharType="begin"/>
            </w:r>
            <w:r>
              <w:instrText xml:space="preserve"> ADDIN ZOTERO_ITEM CSL_CITATION {"citationID":"h3JJPBAt","properties":{"unsorted":false,"formattedCitation":"[6]","plainCitation":"[6]","noteIndex":0},"citationItems":[{"id":3932,"uris":["http://zotero.org/users/16907913/items/QYWFP8M9"],"itemData":{"id":3932,"type":"article-journal","abstract":"The Internet of Things (IoT) is reshaping our lives, increasing the need for thorough pre-deployment testing. However, traditional software testing may not address the testing requirements of IoT systems, leading to quality challenges. A specific testing taxonomy is crucial, yet no widely recognized taxonomy exists for IoT system testing. We introduced an IoT-specific testing taxonomy that categorizes aspects of IoT systems testing into seven distinct categories. We mined testing aspects from 83 primary studies in IoT systems testing and built an initial taxonomy. This taxonomy was refined and validated through two rounds of surveys involving 16 and then 204 IoT industry practitioners. We assessed its effectiveness by conducting an empirical evaluation on two separate IoT systems, each involving 12 testers. Our findings categorize seven testing aspects: (1) testing objectives, (2) testing tools and artifacts, (3) testers, (4) testing stage, (5) testing environment, (6) Object Under Test (OUT) and metrics, and (7) testing approaches. The evaluation showed that testers equipped with the taxonomy could more effectively identify diverse test cases and scenarios. Additionally, we recommend new research opportunities to enhance the testing of IoT systems.","container-title":"Journal of Systems and Software","DOI":"10.1016/j.jss.2025.112408","ISSN":"01641212","journalAbbreviation":"Journal of Systems and Software","language":"en","page":"112408","source":"DOI.org (Crossref)","title":"IoT systems testing: Taxonomy, empirical findings, and recommendations","title-short":"IoT systems testing","volume":"226","author":[{"family":"Minani","given":"Jean Baptiste"},{"family":"Fellah","given":"Yahia El"},{"family":"Sabir","given":"Fatima"},{"family":"Moha","given":"Naouel"},{"family":"Guéhéneuc","given":"Yann-Gaël"},{"family":"Kuradusenge","given":"Martin"},{"family":"Masuda","given":"Tomoaki"}],"issued":{"date-parts":[["2025",8]]}}}],"schema":"https://github.com/citation-style-language/schema/raw/master/csl-citation.json"} </w:instrText>
            </w:r>
            <w:r>
              <w:fldChar w:fldCharType="separate"/>
            </w:r>
            <w:r>
              <w:rPr>
                <w:rFonts w:cs="Times New Roman"/>
              </w:rPr>
              <w:t>[6]</w:t>
            </w:r>
            <w:r>
              <w:fldChar w:fldCharType="end"/>
            </w:r>
            <w:r>
              <w:t xml:space="preserve"> .</w:t>
            </w:r>
          </w:p>
        </w:tc>
        <w:tc>
          <w:tcPr>
            <w:tcW w:w="2126" w:type="dxa"/>
          </w:tcPr>
          <w:p w14:paraId="6CFB10C5">
            <w:pPr>
              <w:spacing w:before="0" w:after="0" w:line="240" w:lineRule="auto"/>
            </w:pPr>
            <w:r>
              <w:t>Proporcionar una taxonomía estandarizada para estructurar las fases, herramientas y entornos de prueba en arquitecturas IoT multinivel.</w:t>
            </w:r>
          </w:p>
        </w:tc>
        <w:tc>
          <w:tcPr>
            <w:tcW w:w="2126" w:type="dxa"/>
          </w:tcPr>
          <w:p w14:paraId="76BF3B64">
            <w:pPr>
              <w:spacing w:before="0" w:after="0" w:line="240" w:lineRule="auto"/>
            </w:pPr>
            <w:r>
              <w:t>Dispositivos IoT heterogéneos, nodos sensores/actuadores, gateways, servidores Edge y plataformas Cloud.</w:t>
            </w:r>
          </w:p>
        </w:tc>
        <w:tc>
          <w:tcPr>
            <w:tcW w:w="2127" w:type="dxa"/>
          </w:tcPr>
          <w:p w14:paraId="0D16DAE1">
            <w:pPr>
              <w:spacing w:before="0" w:after="0" w:line="240" w:lineRule="auto"/>
              <w:rPr>
                <w:lang w:val="es-EC"/>
              </w:rPr>
            </w:pPr>
            <w:r>
              <w:t xml:space="preserve">• </w:t>
            </w:r>
            <w:r>
              <w:rPr>
                <w:lang w:val="es-EC"/>
              </w:rPr>
              <w:t>Se requirió la implementación de marcas de tiempo (timestamps) para calcular con precisión la latencia de red (QoS).</w:t>
            </w:r>
          </w:p>
          <w:p w14:paraId="40D7B2CB">
            <w:pPr>
              <w:spacing w:before="0" w:after="0" w:line="240" w:lineRule="auto"/>
              <w:rPr>
                <w:lang w:val="es-EC"/>
              </w:rPr>
            </w:pPr>
            <w:r>
              <w:t xml:space="preserve">• </w:t>
            </w:r>
            <w:r>
              <w:rPr>
                <w:lang w:val="es-EC"/>
              </w:rPr>
              <w:t>Se evidenció la necesidad de someter el sistema a pruebas de rendimiento, usabilidad y estrés.</w:t>
            </w:r>
          </w:p>
          <w:p w14:paraId="2DF2F368">
            <w:pPr>
              <w:spacing w:before="0" w:after="0" w:line="240" w:lineRule="auto"/>
              <w:rPr>
                <w:lang w:val="es-EC"/>
              </w:rPr>
            </w:pPr>
            <w:r>
              <w:t>•</w:t>
            </w:r>
            <w:r>
              <w:rPr>
                <w:lang w:val="es-EC"/>
              </w:rPr>
              <w:t xml:space="preserve"> Se determinó que la validación debe realizarse obligatoriamente en entornos seguros de pruebas.</w:t>
            </w:r>
          </w:p>
          <w:p w14:paraId="215665D7">
            <w:pPr>
              <w:spacing w:before="0" w:after="0" w:line="240" w:lineRule="auto"/>
            </w:pPr>
          </w:p>
        </w:tc>
      </w:tr>
      <w:tr w14:paraId="3F1AF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vMerge w:val="continue"/>
          </w:tcPr>
          <w:p w14:paraId="3C99F077">
            <w:pPr>
              <w:spacing w:before="0" w:after="0" w:line="240" w:lineRule="auto"/>
            </w:pPr>
          </w:p>
        </w:tc>
        <w:tc>
          <w:tcPr>
            <w:tcW w:w="1699" w:type="dxa"/>
          </w:tcPr>
          <w:p w14:paraId="78AACD62">
            <w:pPr>
              <w:spacing w:before="0" w:after="0" w:line="240" w:lineRule="auto"/>
            </w:pPr>
            <w:r>
              <w:t xml:space="preserve">Sustainable aquaculture: An IoT-integrated system for real-time water quality monitoring featuring advanced DO and ammonia sensors </w:t>
            </w:r>
            <w:r>
              <w:fldChar w:fldCharType="begin"/>
            </w:r>
            <w:r>
              <w:instrText xml:space="preserve"> ADDIN ZOTERO_ITEM CSL_CITATION {"citationID":"1oKQetbI","properties":{"unsorted":false,"formattedCitation":"[7]","plainCitation":"[7]","noteIndex":0},"citationItems":[{"id":3931,"uris":["http://zotero.org/users/16907913/items/SHWATNUB"],"itemData":{"id":3931,"type":"article-journal","abstract":"Efficient water quality monitoring is essential for sustainable aquaculture. Key parameters such as dissolved oxygen (DO), ammonia, turbidity, pH, temperature, and total dissolved solids (TDS) are vital for mitigating fish loss and enhancing profitability. However, existing commercial solutions fail to provide a cost-effective, automated system for simultaneously measuring all six parameters. To address this limitation, a novel system integrates Internet of Things (IoT) sensors with real-time data presentation to continuously monitor water quality. Designed using a modified V-model methodology, the system provides real-time updates through an Android mobile application. The sensors demonstrated high accuracy: 90.5 % for DO, 88.9 % for ammonia, 96.4 % for turbidity, 94.8 % for pH, 99.1 % for temperature, and 94.9 % for TDS. Given the high cost of typical DO and ammonia sensors, in-house alternatives were developed, reducing expenses. By combining these with commercially available sensors, a six-sensor product package was created, cutting overall costs by approximately 85 % for end users. This significant cost reduction, coupled with real-time monitoring capabilities, democratizes access to advanced technology, promoting the widespread adoption of efficient and sustainable aquaculture practices.","container-title":"Aquacultural Engineering","DOI":"10.1016/j.aquaeng.2025.102620","ISSN":"01448609","journalAbbreviation":"Aquacultural Engineering","language":"en","page":"102620","source":"DOI.org (Crossref)","title":"Sustainable aquaculture: An Iot-integrated system for real-time water quality monitoring featuring advanced do and ammonia sensors","title-short":"Sustainable aquaculture","volume":"112","author":[{"family":"Zuhaer","given":"Abrar"},{"family":"Khandoker","given":"Azad"},{"family":"Enayet","given":"Nafees"},{"family":"Partha","given":"Pronab Kumar Paul"},{"family":"Awal","given":"Md. Abdul"}],"issued":{"date-parts":[["2026",1]]}}}],"schema":"https://github.com/citation-style-language/schema/raw/master/csl-citation.json"} </w:instrText>
            </w:r>
            <w:r>
              <w:fldChar w:fldCharType="separate"/>
            </w:r>
            <w:r>
              <w:rPr>
                <w:rFonts w:cs="Times New Roman"/>
              </w:rPr>
              <w:t>[7]</w:t>
            </w:r>
            <w:r>
              <w:fldChar w:fldCharType="end"/>
            </w:r>
            <w:r>
              <w:t>.</w:t>
            </w:r>
          </w:p>
        </w:tc>
        <w:tc>
          <w:tcPr>
            <w:tcW w:w="2126" w:type="dxa"/>
          </w:tcPr>
          <w:p w14:paraId="4B9625BB">
            <w:pPr>
              <w:spacing w:before="0" w:after="0" w:line="240" w:lineRule="auto"/>
            </w:pPr>
            <w:r>
              <w:t>Desarrollar un sistema mecatrónico e IoT de bajo costo para el monitoreo automatizado e ininterrumpido de 6 parámetros clave de calidad del agua</w:t>
            </w:r>
          </w:p>
        </w:tc>
        <w:tc>
          <w:tcPr>
            <w:tcW w:w="2126" w:type="dxa"/>
          </w:tcPr>
          <w:p w14:paraId="5A325DF5">
            <w:pPr>
              <w:spacing w:before="0" w:after="0" w:line="240" w:lineRule="auto"/>
            </w:pPr>
            <w:r>
              <w:t>Microcontrolador primario ATmega2650, secundario ATmega328P, módulo Wi-Fi/MQTT ESP32, sensores DFRobot (pH, TDS, Turbidez, Temp), LDR y chasis 3D.</w:t>
            </w:r>
          </w:p>
        </w:tc>
        <w:tc>
          <w:tcPr>
            <w:tcW w:w="2127" w:type="dxa"/>
          </w:tcPr>
          <w:p w14:paraId="3DDD2A79">
            <w:pPr>
              <w:spacing w:before="0" w:after="0" w:line="240" w:lineRule="auto"/>
              <w:rPr>
                <w:lang w:val="es-EC"/>
              </w:rPr>
            </w:pPr>
            <w:r>
              <w:t xml:space="preserve">• </w:t>
            </w:r>
            <w:r>
              <w:rPr>
                <w:lang w:val="es-EC"/>
              </w:rPr>
              <w:t>Se identificó el requisito de integrar la lectura de sensores analógicos y digitales, abarcando pH, temperatura y luminosidad (LDR).</w:t>
            </w:r>
          </w:p>
          <w:p w14:paraId="68B349DB">
            <w:pPr>
              <w:spacing w:before="0" w:after="0" w:line="240" w:lineRule="auto"/>
              <w:rPr>
                <w:lang w:val="es-EC"/>
              </w:rPr>
            </w:pPr>
            <w:r>
              <w:t xml:space="preserve">• </w:t>
            </w:r>
            <w:r>
              <w:rPr>
                <w:lang w:val="es-EC"/>
              </w:rPr>
              <w:t>Se estableció la necesidad de implementar un mecanismo de transmisión asíncrona de datos.</w:t>
            </w:r>
          </w:p>
          <w:p w14:paraId="412557F6">
            <w:pPr>
              <w:spacing w:before="0" w:after="0" w:line="240" w:lineRule="auto"/>
              <w:rPr>
                <w:lang w:val="es-EC"/>
              </w:rPr>
            </w:pPr>
            <w:r>
              <w:t xml:space="preserve">• </w:t>
            </w:r>
            <w:r>
              <w:rPr>
                <w:lang w:val="es-EC"/>
              </w:rPr>
              <w:t>Se requirió el desarrollo de dashboards web que permitan la visualización gráfica de la información con unidades claras.</w:t>
            </w:r>
          </w:p>
          <w:p w14:paraId="594B76D7">
            <w:pPr>
              <w:spacing w:before="0" w:after="0" w:line="240" w:lineRule="auto"/>
            </w:pPr>
          </w:p>
        </w:tc>
      </w:tr>
      <w:tr w14:paraId="6F3A9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vMerge w:val="continue"/>
          </w:tcPr>
          <w:p w14:paraId="5261BF68">
            <w:pPr>
              <w:spacing w:before="0" w:after="0" w:line="240" w:lineRule="auto"/>
            </w:pPr>
          </w:p>
        </w:tc>
        <w:tc>
          <w:tcPr>
            <w:tcW w:w="1699" w:type="dxa"/>
          </w:tcPr>
          <w:p w14:paraId="0AF8C79C">
            <w:pPr>
              <w:spacing w:before="0" w:after="0" w:line="240" w:lineRule="auto"/>
            </w:pPr>
            <w:r>
              <w:t xml:space="preserve">Multi-sensor fusion based intelligent greenhouse environmental control system with LabVIEW and GA-optimized fuzzy control </w:t>
            </w:r>
            <w:r>
              <w:fldChar w:fldCharType="begin"/>
            </w:r>
            <w:r>
              <w:instrText xml:space="preserve"> ADDIN ZOTERO_ITEM CSL_CITATION {"citationID":"YZZMONk3","properties":{"unsorted":false,"formattedCitation":"[8]","plainCitation":"[8]","noteIndex":0},"citationItems":[{"id":3936,"uris":["http://zotero.org/users/16907913/items/5S7ZGB7B"],"itemData":{"id":3936,"type":"article-journal","abstract":"To address the challenges of multi-variable coupling, sensor noise interference, and inefficient energy regulation in controlled environment agriculture (CEA), this study develops an intelligent greenhouse environmental control system integrating multi-sensor fusion, Kalman filtering, and genetic algorithm (GA)-optimized fuzzy control. The proposed system combines real-time sensing of key environmental parameters, including air temperature, relative humidity, CO₂ concentration, and photosynthetic photon flux density (PPFD), with a hierarchical control architecture implemented on the LabVIEW platform. A Kalman filtering algorithm is introduced to improve sensing reliability, while a GA optimization strategy is developed to automatically adjust fuzzy membership functions and control rules, enhancing the adaptability of conventional fuzzy controllers under dynamic greenhouse conditions.","container-title":"Smart Agricultural Technology","DOI":"10.1016/j.atech.2026.102508","ISSN":"27723755","journalAbbreviation":"Smart Agricultural Technology","language":"en","page":"102508","source":"DOI.org (Crossref)","title":"Multi-sensor fusion based intelligent greenhouse environmental control system with LabVIEW and GA-optimized fuzzy control","volume":"15","author":[{"family":"Wang","given":"Nan"},{"family":"Zhu","given":"Guanyu"},{"family":"Zhang","given":"Rumeng"},{"family":"Zhen","given":"Hongde"},{"family":"Guo","given":"Bin"},{"family":"Papadakis","given":"Georgios"}],"issued":{"date-parts":[["2026",12]]}}}],"schema":"https://github.com/citation-style-language/schema/raw/master/csl-citation.json"} </w:instrText>
            </w:r>
            <w:r>
              <w:fldChar w:fldCharType="separate"/>
            </w:r>
            <w:r>
              <w:rPr>
                <w:rFonts w:cs="Times New Roman"/>
              </w:rPr>
              <w:t>[8]</w:t>
            </w:r>
            <w:r>
              <w:fldChar w:fldCharType="end"/>
            </w:r>
            <w:r>
              <w:t>.</w:t>
            </w:r>
          </w:p>
        </w:tc>
        <w:tc>
          <w:tcPr>
            <w:tcW w:w="2126" w:type="dxa"/>
          </w:tcPr>
          <w:p w14:paraId="050E6273">
            <w:pPr>
              <w:spacing w:before="0" w:after="0" w:line="240" w:lineRule="auto"/>
            </w:pPr>
            <w:r>
              <w:t>Construir un sistema de control de clima para invernadero combinando fusión multisensorial, filtrado de Kalman y control difuso optimizado.</w:t>
            </w:r>
          </w:p>
        </w:tc>
        <w:tc>
          <w:tcPr>
            <w:tcW w:w="2126" w:type="dxa"/>
          </w:tcPr>
          <w:p w14:paraId="13E380CA">
            <w:pPr>
              <w:spacing w:before="0" w:after="0" w:line="240" w:lineRule="auto"/>
            </w:pPr>
            <w:r>
              <w:t>Controlador digital JY-0404A (ARM Cortex-M4), módulo Wi-Fi ESP8266, sensores GHHB-001 (Temp/Hum), GHHB-004 (CO₂), LI-COR (PPFD), FC-28 (suelo), Workstation HP (LabVIEW/MySQL), relés.</w:t>
            </w:r>
          </w:p>
        </w:tc>
        <w:tc>
          <w:tcPr>
            <w:tcW w:w="2127" w:type="dxa"/>
          </w:tcPr>
          <w:p w14:paraId="41C19D00">
            <w:pPr>
              <w:spacing w:before="0" w:after="0" w:line="240" w:lineRule="auto"/>
              <w:rPr>
                <w:lang w:val="es-EC"/>
              </w:rPr>
            </w:pPr>
            <w:r>
              <w:t xml:space="preserve">• </w:t>
            </w:r>
            <w:r>
              <w:rPr>
                <w:lang w:val="es-EC"/>
              </w:rPr>
              <w:t>Se determinó la necesidad de realizar un muestreo multicanal simultáneo para la humedad de suelo, temperatura, humedad ambiental y luz.</w:t>
            </w:r>
          </w:p>
          <w:p w14:paraId="3BB0DEF1">
            <w:pPr>
              <w:spacing w:before="0" w:after="0" w:line="240" w:lineRule="auto"/>
              <w:rPr>
                <w:lang w:val="es-EC"/>
              </w:rPr>
            </w:pPr>
            <w:r>
              <w:t>•</w:t>
            </w:r>
            <w:r>
              <w:rPr>
                <w:lang w:val="es-EC"/>
              </w:rPr>
              <w:t xml:space="preserve"> Se estableció como requisito recepcionar, parsear y almacenar los datos en una base de datos de series temporales de baja latencia.</w:t>
            </w:r>
          </w:p>
          <w:p w14:paraId="19D082E7">
            <w:pPr>
              <w:spacing w:before="0" w:after="0" w:line="240" w:lineRule="auto"/>
              <w:rPr>
                <w:lang w:val="es-EC"/>
              </w:rPr>
            </w:pPr>
            <w:r>
              <w:t>•</w:t>
            </w:r>
            <w:r>
              <w:rPr>
                <w:lang w:val="es-EC"/>
              </w:rPr>
              <w:t xml:space="preserve"> Se definió como indispensable la capacidad de actualización asíncrona y en tiempo real del dashboard.</w:t>
            </w:r>
          </w:p>
        </w:tc>
      </w:tr>
      <w:tr w14:paraId="36277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vMerge w:val="continue"/>
          </w:tcPr>
          <w:p w14:paraId="46915B0B">
            <w:pPr>
              <w:spacing w:before="0" w:after="0" w:line="240" w:lineRule="auto"/>
            </w:pPr>
          </w:p>
        </w:tc>
        <w:tc>
          <w:tcPr>
            <w:tcW w:w="1699" w:type="dxa"/>
          </w:tcPr>
          <w:p w14:paraId="515E8CBD">
            <w:pPr>
              <w:spacing w:before="0" w:after="0" w:line="240" w:lineRule="auto"/>
            </w:pPr>
            <w:r>
              <w:t xml:space="preserve">Convergence of the energy and mobility sectors through Internet of Things technologies: A systematic literature review </w:t>
            </w:r>
            <w:r>
              <w:fldChar w:fldCharType="begin"/>
            </w:r>
            <w:r>
              <w:instrText xml:space="preserve"> ADDIN ZOTERO_ITEM CSL_CITATION {"citationID":"EZyFTLFR","properties":{"unsorted":false,"formattedCitation":"[9]","plainCitation":"[9]","noteIndex":0},"citationItems":[{"id":3934,"uris":["http://zotero.org/users/16907913/items/AHEDN8ZX"],"itemData":{"id":3934,"type":"article-journal","abstract":"The convergence of the energy and mobility sectors through electric vehicle adoption and smart grid deploy ment demands seamless interoperability for efficient resource management and sustainability. This systematic literature review examines how Internet of Things (IoT) technologies facilitate integration across these domains. Following Preferred Reporting Items for Systematic Reviews and Meta-Analyses (PRISMA) guidelines, we an alyzed 221 peer-reviewed publications from 2015 to 2024. Our review identifies critical challenges spanning technical, semantic, organizational, and regulatory dimensions, and synthesizes IoT-enabled solutions includ ing communication protocols, interoperability platforms, domain-specific standards, and semantic technologies. Analysis of real-world deployments demonstrates tangible benefits: standardized protocols reduce integration costs by 30–50%, edge computing architectures achieve sub-10ms latency for vehicle-to-grid frequency regula tion, and semantic interoperability enables cross-domain data fusion. We identify critical research opportunities in privacy-preserving analytics, quantum-safe cryptography, digital twin technologies, and next-generation com munications. This work provides researchers, practitioners, and policymakers with a comprehensive reference for advancing IoT-enabled energy-mobility interoperability.","container-title":"Applied Energy","DOI":"10.1016/j.apenergy.2026.127611","ISSN":"03062619","journalAbbreviation":"Applied Energy","language":"en","page":"127611","source":"DOI.org (Crossref)","title":"IoT-enabled interoperability for energy-mobility integration: A systematic review of protocols, platforms, and standards","title-short":"IoT-enabled interoperability for energy-mobility integration","volume":"411","author":[{"family":"Liu","given":"Xiufeng"},{"family":"Liu","given":"Ruyu"},{"family":"Zhang","given":"Xiaobing"},{"family":"Abate","given":"Arega Getaneh"},{"family":"Nielsen","given":"Per Sieverts"},{"family":"Keles","given":"Dogan"}],"issued":{"date-parts":[["2026",5]]}}}],"schema":"https://github.com/citation-style-language/schema/raw/master/csl-citation.json"} </w:instrText>
            </w:r>
            <w:r>
              <w:fldChar w:fldCharType="separate"/>
            </w:r>
            <w:r>
              <w:rPr>
                <w:rFonts w:cs="Times New Roman"/>
              </w:rPr>
              <w:t>[9]</w:t>
            </w:r>
            <w:r>
              <w:fldChar w:fldCharType="end"/>
            </w:r>
            <w:r>
              <w:t>.</w:t>
            </w:r>
          </w:p>
        </w:tc>
        <w:tc>
          <w:tcPr>
            <w:tcW w:w="2126" w:type="dxa"/>
          </w:tcPr>
          <w:p w14:paraId="3349FD09">
            <w:pPr>
              <w:spacing w:before="0" w:after="0" w:line="240" w:lineRule="auto"/>
            </w:pPr>
            <w:r>
              <w:t>Analizar la integración entre sectores de energía y movilidad mediante arquitecturas IoT de tres capas e interoperabilidad.</w:t>
            </w:r>
          </w:p>
        </w:tc>
        <w:tc>
          <w:tcPr>
            <w:tcW w:w="2126" w:type="dxa"/>
          </w:tcPr>
          <w:p w14:paraId="387D1BF6">
            <w:pPr>
              <w:spacing w:before="0" w:after="0" w:line="240" w:lineRule="auto"/>
            </w:pPr>
            <w:r>
              <w:t>Smart Meters, estaciones de carga EV/V2G, sensores de red eléctrica y gateways IoT de borde.</w:t>
            </w:r>
          </w:p>
        </w:tc>
        <w:tc>
          <w:tcPr>
            <w:tcW w:w="2127" w:type="dxa"/>
          </w:tcPr>
          <w:p w14:paraId="6C19E628">
            <w:pPr>
              <w:spacing w:before="0" w:after="0" w:line="240" w:lineRule="auto"/>
              <w:rPr>
                <w:lang w:val="es-EC"/>
              </w:rPr>
            </w:pPr>
            <w:r>
              <w:t xml:space="preserve">• </w:t>
            </w:r>
            <w:r>
              <w:rPr>
                <w:lang w:val="es-EC"/>
              </w:rPr>
              <w:t>Se identificó el requerimiento de garantizar un transporte continuo de datos mediante modelos Publish/Subscribe e interoperabilidad entre capas.</w:t>
            </w:r>
          </w:p>
          <w:p w14:paraId="389F810C">
            <w:pPr>
              <w:spacing w:before="0" w:after="0" w:line="240" w:lineRule="auto"/>
              <w:rPr>
                <w:lang w:val="es-EC"/>
              </w:rPr>
            </w:pPr>
            <w:r>
              <w:t>•</w:t>
            </w:r>
            <w:r>
              <w:rPr>
                <w:lang w:val="es-EC"/>
              </w:rPr>
              <w:t xml:space="preserve"> Se requirió asegurar y evaluar una latencia reducida en la transmisión de mensajes M2M.</w:t>
            </w:r>
          </w:p>
          <w:p w14:paraId="32A6701A">
            <w:pPr>
              <w:spacing w:before="0" w:after="0" w:line="240" w:lineRule="auto"/>
            </w:pPr>
          </w:p>
        </w:tc>
      </w:tr>
      <w:tr w14:paraId="70C2A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vMerge w:val="restart"/>
          </w:tcPr>
          <w:p w14:paraId="5B428600">
            <w:pPr>
              <w:spacing w:before="0" w:after="0" w:line="240" w:lineRule="auto"/>
            </w:pPr>
            <w:r>
              <w:t>IEEE Xplore</w:t>
            </w:r>
          </w:p>
        </w:tc>
        <w:tc>
          <w:tcPr>
            <w:tcW w:w="1699" w:type="dxa"/>
          </w:tcPr>
          <w:p w14:paraId="221B9E9F">
            <w:pPr>
              <w:spacing w:before="0" w:after="0" w:line="240" w:lineRule="auto"/>
            </w:pPr>
            <w:r>
              <w:t xml:space="preserve">A Comprehensive Survey on TinyML: State-of-the-art, Challenges and Future Directions </w:t>
            </w:r>
            <w:r>
              <w:fldChar w:fldCharType="begin"/>
            </w:r>
            <w:r>
              <w:instrText xml:space="preserve"> ADDIN ZOTERO_ITEM CSL_CITATION {"citationID":"T64vQCTU","properties":{"unsorted":false,"formattedCitation":"[10]","plainCitation":"[10]","noteIndex":0},"citationItems":[{"id":3937,"uris":["http://zotero.org/users/16907913/items/UDGJ5LVE"],"itemData":{"id":3937,"type":"article-journal","abstract":"Recent spectacular progress in computational technologies has led to an unprecedented boom in the field of Artificial Intelligence (AI). AI is now used in a plethora of research areas and has demonstrated its capability to bring new approaches and solutions to various research problems. However, the extensive computation required to train AI algorithms comes with a cost. Driven by the need to reduce the energy consumption, the carbon footprint and the cost of computers running machine learning algorithms, TinyML is nowadays considered as a promising AI alternative focusing on technologies and applications for extremely low-profile devices. This paper presents the results of a literature survey of all TinyML applications and related research efforts. Our survey builds a taxonomy of TinyML techniques that have been used so far to bring new solutions to various domains, such as healthcare, smart farming, environment, and anomaly detection. Finally, this survey highlights the remaining challenges and points out possible future research directions. We anticipate that this survey will motivate further discussions on the various fields of applications of TinyML and the synergy of resource-constrained devices and edge intelligence.","container-title":"IEEE Access","DOI":"10.1109/ACCESS.2023.3294111","ISSN":"2169-3536","journalAbbreviation":"IEEE Access","language":"en","license":"https://creativecommons.org/licenses/by-nc-nd/4.0/","page":"96892-96922","source":"DOI.org (Crossref)","title":"A Comprehensive Survey on TinyML","volume":"11","author":[{"family":"Abadade","given":"Youssef"},{"family":"Temouden","given":"Anas"},{"family":"Bamoumen","given":"Hatim"},{"family":"Benamar","given":"Nabil"},{"family":"Chtouki","given":"Yousra"},{"family":"Hafid","given":"Abdelhakim Senhaji"}],"issued":{"date-parts":[["2023"]]}}}],"schema":"https://github.com/citation-style-language/schema/raw/master/csl-citation.json"} </w:instrText>
            </w:r>
            <w:r>
              <w:fldChar w:fldCharType="separate"/>
            </w:r>
            <w:r>
              <w:rPr>
                <w:rFonts w:cs="Times New Roman"/>
              </w:rPr>
              <w:t>[10]</w:t>
            </w:r>
            <w:r>
              <w:fldChar w:fldCharType="end"/>
            </w:r>
            <w:r>
              <w:t>.</w:t>
            </w:r>
          </w:p>
        </w:tc>
        <w:tc>
          <w:tcPr>
            <w:tcW w:w="2126" w:type="dxa"/>
          </w:tcPr>
          <w:p w14:paraId="18A0ED77">
            <w:pPr>
              <w:spacing w:before="0" w:after="0" w:line="240" w:lineRule="auto"/>
            </w:pPr>
            <w:r>
              <w:t>Desplegar inteligencia artificial mediante modelos de aprendizaje automático comprimidos directamente en microcontroladores de ultra bajo consumo en el borde.</w:t>
            </w:r>
          </w:p>
        </w:tc>
        <w:tc>
          <w:tcPr>
            <w:tcW w:w="2126" w:type="dxa"/>
          </w:tcPr>
          <w:p w14:paraId="126CC06E">
            <w:pPr>
              <w:spacing w:before="0" w:after="0" w:line="240" w:lineRule="auto"/>
            </w:pPr>
            <w:r>
              <w:t>Microcontroladores (ESP32-CAM, STM32, Arduino Portenta H7, Raspberry Pi Zero W) y aceleradores Edge TPU.</w:t>
            </w:r>
          </w:p>
        </w:tc>
        <w:tc>
          <w:tcPr>
            <w:tcW w:w="2127" w:type="dxa"/>
          </w:tcPr>
          <w:p w14:paraId="4E76AB4C">
            <w:pPr>
              <w:spacing w:before="0" w:after="0" w:line="240" w:lineRule="auto"/>
              <w:rPr>
                <w:lang w:val="es-EC"/>
              </w:rPr>
            </w:pPr>
            <w:r>
              <w:t xml:space="preserve">• </w:t>
            </w:r>
            <w:r>
              <w:rPr>
                <w:lang w:val="es-EC"/>
              </w:rPr>
              <w:t>Se determinó como requisito de hardware el uso de placas con rendimiento de bajo consumo energético, como el ESP32.</w:t>
            </w:r>
          </w:p>
          <w:p w14:paraId="399651A9">
            <w:pPr>
              <w:spacing w:before="0" w:after="0" w:line="240" w:lineRule="auto"/>
              <w:rPr>
                <w:lang w:val="es-EC"/>
              </w:rPr>
            </w:pPr>
            <w:r>
              <w:t>•</w:t>
            </w:r>
            <w:r>
              <w:rPr>
                <w:lang w:val="es-EC"/>
              </w:rPr>
              <w:t xml:space="preserve"> Se identificó la necesidad de realizar el preprocesamiento local de datos directamente en el nodo microcontrolador [14].</w:t>
            </w:r>
          </w:p>
          <w:p w14:paraId="56C78C12">
            <w:pPr>
              <w:spacing w:before="0" w:after="0" w:line="240" w:lineRule="auto"/>
              <w:rPr>
                <w:lang w:val="es-EC"/>
              </w:rPr>
            </w:pPr>
            <w:r>
              <w:t>•</w:t>
            </w:r>
            <w:r>
              <w:rPr>
                <w:lang w:val="es-EC"/>
              </w:rPr>
              <w:t xml:space="preserve"> Se estableció la obligatoriedad de que el sistema pueda operar de forma local, sin depender de la nube.</w:t>
            </w:r>
          </w:p>
          <w:p w14:paraId="050C784F">
            <w:pPr>
              <w:spacing w:before="0" w:after="0" w:line="240" w:lineRule="auto"/>
            </w:pPr>
          </w:p>
        </w:tc>
      </w:tr>
      <w:tr w14:paraId="701CB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vMerge w:val="continue"/>
          </w:tcPr>
          <w:p w14:paraId="6D641BF8">
            <w:pPr>
              <w:spacing w:before="0" w:after="0" w:line="240" w:lineRule="auto"/>
            </w:pPr>
          </w:p>
        </w:tc>
        <w:tc>
          <w:tcPr>
            <w:tcW w:w="1699" w:type="dxa"/>
          </w:tcPr>
          <w:p w14:paraId="3491DCF9">
            <w:pPr>
              <w:spacing w:before="0" w:after="0" w:line="240" w:lineRule="auto"/>
            </w:pPr>
            <w:r>
              <w:t xml:space="preserve">Energy-Aware Computing in IoT-Enabled Agriculture Network Using STAR-RIS </w:t>
            </w:r>
            <w:r>
              <w:fldChar w:fldCharType="begin"/>
            </w:r>
            <w:r>
              <w:instrText xml:space="preserve"> ADDIN ZOTERO_ITEM CSL_CITATION {"citationID":"v5pVXI2z","properties":{"unsorted":false,"formattedCitation":"[11]","plainCitation":"[11]","noteIndex":0},"citationItems":[{"id":3938,"uris":["http://zotero.org/users/16907913/items/VYCFZ9XS"],"itemData":{"id":3938,"type":"article-journal","abstract":"For real-time data acquisition and analytics, the vast array of Internet of Things (IoT) sensors, edge devices, software systems, and communication networks necessitate a large computing power. The energy consumption and carbon footprint are severely impacted by this. Energy-conscious sustainable computing solutions are essential for achieving carbon neutrality. This paper presents a simultaneous transmission and reflection reconfigurable intelligent surfaces (STAR RIS) assisted wireless powered IoT network. By utilising the concept of energy harvesting, efficient power control is introduced by the STAR RIS with optimal phase shifts. The numerical formulations for phase shift optimization, harvested energy, achievable rate, system spectral efficiency are obtained. Further, a hardware aware model to compute the total power of the system is proposed to carry out the energy efficiency analysis. It includes transmit power, RIS control/ drive power and circuit power consumption. To overcome the energy overhead, an access point (AP) scheduling algorithm is proposed which allocates specific user groups to specific APs based on maximum energy harvested with optimal phase shifts. A computational complexity analysis of the proposed algorithm is also presented. It is observed that STAR RIS assisted system improves the energy efficiency by 13.3% with the proposed scheduling algorithm. In the end, the performance comparison of system models with passive IRS and no IRS is presented along with other alternative RIS designs. The scalability study for larger networks is also discussed.","container-title":"IEEE Access","DOI":"10.1109/ACCESS.2026.3660693","ISSN":"2169-3536","journalAbbreviation":"IEEE Access","language":"en","license":"https://creativecommons.org/licenses/by/4.0/legalcode","page":"19841-19851","source":"DOI.org (Crossref)","title":"Energy Aware Computing in IoT-Enabled Agriculture Network Using STAR RIS","volume":"14","author":[{"family":"Alqahtani","given":"Nayef"},{"family":"Taneja","given":"Ashu"}],"issued":{"date-parts":[["2026"]]}}}],"schema":"https://github.com/citation-style-language/schema/raw/master/csl-citation.json"} </w:instrText>
            </w:r>
            <w:r>
              <w:fldChar w:fldCharType="separate"/>
            </w:r>
            <w:r>
              <w:rPr>
                <w:rFonts w:cs="Times New Roman"/>
              </w:rPr>
              <w:t>[11]</w:t>
            </w:r>
            <w:r>
              <w:fldChar w:fldCharType="end"/>
            </w:r>
            <w:r>
              <w:t>.</w:t>
            </w:r>
          </w:p>
        </w:tc>
        <w:tc>
          <w:tcPr>
            <w:tcW w:w="2126" w:type="dxa"/>
          </w:tcPr>
          <w:p w14:paraId="5AD71B3D">
            <w:pPr>
              <w:spacing w:before="0" w:after="0" w:line="240" w:lineRule="auto"/>
            </w:pPr>
            <w:r>
              <w:t>Optimizar la eficiencia energética y la recolección de energía en redes inalámbricas IoT agrícolas mediante superficies inteligentes reconfigurables (STAR-RIS).</w:t>
            </w:r>
          </w:p>
        </w:tc>
        <w:tc>
          <w:tcPr>
            <w:tcW w:w="2126" w:type="dxa"/>
          </w:tcPr>
          <w:p w14:paraId="093CEAC0">
            <w:pPr>
              <w:spacing w:before="0" w:after="0" w:line="240" w:lineRule="auto"/>
            </w:pPr>
            <w:r>
              <w:t>Nodos sensores IoT agrícolas con cosechadores de energía, Puntos de Acceso (AP) y paneles STAR-RIS.</w:t>
            </w:r>
          </w:p>
        </w:tc>
        <w:tc>
          <w:tcPr>
            <w:tcW w:w="2127" w:type="dxa"/>
          </w:tcPr>
          <w:p w14:paraId="1762FAE7">
            <w:pPr>
              <w:spacing w:before="0" w:after="0" w:line="240" w:lineRule="auto"/>
              <w:rPr>
                <w:lang w:val="es-EC"/>
              </w:rPr>
            </w:pPr>
            <w:r>
              <w:t>•</w:t>
            </w:r>
            <w:r>
              <w:rPr>
                <w:lang w:val="es-EC"/>
              </w:rPr>
              <w:t xml:space="preserve"> Se definió como requisito crítico mantener un ultra bajo consumo energético en todos los nodos sensores de campo.</w:t>
            </w:r>
          </w:p>
          <w:p w14:paraId="4B4040D7">
            <w:pPr>
              <w:spacing w:before="0" w:after="0" w:line="240" w:lineRule="auto"/>
              <w:rPr>
                <w:lang w:val="es-EC"/>
              </w:rPr>
            </w:pPr>
            <w:r>
              <w:t>•</w:t>
            </w:r>
            <w:r>
              <w:rPr>
                <w:lang w:val="es-EC"/>
              </w:rPr>
              <w:t xml:space="preserve"> Se requirió asegurar una transmisión continua y eficiente de los paquetes de datos para minimizar las pérdidas de señal.</w:t>
            </w:r>
          </w:p>
          <w:p w14:paraId="01067755">
            <w:pPr>
              <w:spacing w:before="0" w:after="0" w:line="240" w:lineRule="auto"/>
            </w:pPr>
          </w:p>
        </w:tc>
      </w:tr>
      <w:tr w14:paraId="2CD0C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tcPr>
          <w:p w14:paraId="62FED271">
            <w:pPr>
              <w:spacing w:before="0" w:after="0" w:line="240" w:lineRule="auto"/>
            </w:pPr>
          </w:p>
        </w:tc>
        <w:tc>
          <w:tcPr>
            <w:tcW w:w="1699" w:type="dxa"/>
          </w:tcPr>
          <w:p w14:paraId="64DC1FDA">
            <w:pPr>
              <w:spacing w:before="0" w:after="0" w:line="240" w:lineRule="auto"/>
            </w:pPr>
            <w:r>
              <w:t xml:space="preserve">Hardware Evaluation of Cluster-Based Agricultural IoT Network </w:t>
            </w:r>
            <w:r>
              <w:fldChar w:fldCharType="begin"/>
            </w:r>
            <w:r>
              <w:instrText xml:space="preserve"> ADDIN ZOTERO_ITEM CSL_CITATION {"citationID":"pYkdJW6U","properties":{"unsorted":false,"formattedCitation":"[12]","plainCitation":"[12]","noteIndex":0},"citationItems":[{"id":3939,"uris":["http://zotero.org/users/16907913/items/UKQCPUIC"],"itemData":{"id":3939,"type":"article-journal","abstract":"In this paper, we present a real-world hardware evaluation of a robust, affordable, locationindependent, simple, and infrastructure-less cluster-based agricultural Internet of Things (CA-IoT) network based on a commercial off-the-shelf (COTS) Bluetooth Low-Energy (BLE) communication technique and Raspberry Pi module 3 B + (RPI 3 B +) to address global food insecurity caused by climate change and increasing global population via precision farming and greenhouses. Using an engineering design approach, an initial centralized agricultural IoT hardware test-bed was implemented with the aid of BLE, RPi 3 B +, DHT22, STEMMA soil moisture sensors, UM25 meters, and LoPy /low-power Wi-Fi modules, among other devices. This test-bed was adapted and modified after the proposed cluster-based architecture to evaluate the performance of CA-IoT networks. This study provides holistic account of our location-independent CA-IoT solution covering the design and deployment experiences that can serve as a reference document to the agricultural Internet of Things (Agri-IoT) community. Additionally, the proposed solution performed satisfactorily when tested under indoor and outdoor (on-farm) environmental conditions in the USA and Senegal. Unlike existing Agri-IoT test-beds, a sample performance evaluation showed that our contextrelevant CA-IoT technology is simple to deploy and manage by inexperienced users and is energy-efficient, location-independent, robust, and task- and size-scalable to provide a rich set of measurements for both educational and commercial purposes.","container-title":"IEEE Access","DOI":"10.1109/ACCESS.2024.3370230","ISSN":"2169-3536","journalAbbreviation":"IEEE Access","language":"en","license":"https://creativecommons.org/licenses/by-nc-nd/4.0/","page":"33628-33651","source":"DOI.org (Crossref)","title":"Hardware Evaluation of Cluster-Based Agricultural IoT Network","volume":"12","author":[{"family":"Effah","given":"Emmanuel"},{"family":"Thiare","given":"Ousmane"},{"family":"Wyglinski","given":"Alexander M."}],"issued":{"date-parts":[["2024"]]}}}],"schema":"https://github.com/citation-style-language/schema/raw/master/csl-citation.json"} </w:instrText>
            </w:r>
            <w:r>
              <w:fldChar w:fldCharType="separate"/>
            </w:r>
            <w:r>
              <w:rPr>
                <w:rFonts w:cs="Times New Roman"/>
              </w:rPr>
              <w:t>[12]</w:t>
            </w:r>
            <w:r>
              <w:fldChar w:fldCharType="end"/>
            </w:r>
            <w:r>
              <w:t>.</w:t>
            </w:r>
          </w:p>
        </w:tc>
        <w:tc>
          <w:tcPr>
            <w:tcW w:w="2126" w:type="dxa"/>
          </w:tcPr>
          <w:p w14:paraId="6BBED020">
            <w:pPr>
              <w:spacing w:before="0" w:after="0" w:line="240" w:lineRule="auto"/>
            </w:pPr>
            <w:r>
              <w:t>Implementar y evaluar en campo una red agrícola jerárquica por clústeres (CA-IoT) de bajo consumo energético basada en BLE y Raspberry Pi.</w:t>
            </w:r>
          </w:p>
        </w:tc>
        <w:tc>
          <w:tcPr>
            <w:tcW w:w="2126" w:type="dxa"/>
          </w:tcPr>
          <w:p w14:paraId="124344FA">
            <w:pPr>
              <w:spacing w:before="0" w:after="0" w:line="240" w:lineRule="auto"/>
            </w:pPr>
            <w:r>
              <w:t>Raspberry Pi 3 Model B+, transceptores BLE 4.2, sensores capacitivos Adafruit STEMMA (suelo), DHT22, medidores USB UM25C, paneles solares y baterías</w:t>
            </w:r>
          </w:p>
        </w:tc>
        <w:tc>
          <w:tcPr>
            <w:tcW w:w="2127" w:type="dxa"/>
          </w:tcPr>
          <w:p w14:paraId="170882F0">
            <w:pPr>
              <w:spacing w:before="0" w:after="0" w:line="240" w:lineRule="auto"/>
              <w:rPr>
                <w:lang w:val="es-EC"/>
              </w:rPr>
            </w:pPr>
            <w:r>
              <w:t>•</w:t>
            </w:r>
            <w:r>
              <w:rPr>
                <w:lang w:val="es-EC"/>
              </w:rPr>
              <w:t xml:space="preserve"> Se identificó la necesidad de utilizar componentes de ultra bajo consumo energético soportados por esquemas de suspensión (sleep modes).</w:t>
            </w:r>
          </w:p>
          <w:p w14:paraId="3C93F79F">
            <w:pPr>
              <w:spacing w:before="0" w:after="0" w:line="240" w:lineRule="auto"/>
              <w:rPr>
                <w:lang w:val="es-EC"/>
              </w:rPr>
            </w:pPr>
            <w:r>
              <w:t>•</w:t>
            </w:r>
            <w:r>
              <w:rPr>
                <w:lang w:val="es-EC"/>
              </w:rPr>
              <w:t xml:space="preserve"> Se determinó como requerimiento la capacidad de operar en una red local privada, sin depender de infraestructura de comunicaciones fija.</w:t>
            </w:r>
          </w:p>
          <w:p w14:paraId="138F5EB7">
            <w:pPr>
              <w:spacing w:before="0" w:after="0" w:line="240" w:lineRule="auto"/>
              <w:rPr>
                <w:lang w:val="es-EC"/>
              </w:rPr>
            </w:pPr>
            <w:r>
              <w:t>•</w:t>
            </w:r>
            <w:r>
              <w:rPr>
                <w:lang w:val="es-EC"/>
              </w:rPr>
              <w:t xml:space="preserve"> Se estableció la necesidad de asegurar una operación estable del hardware ante variaciones térmicas extremas y a la intemperie (40 °C–51 °C).</w:t>
            </w:r>
          </w:p>
          <w:p w14:paraId="39B9ED48">
            <w:pPr>
              <w:spacing w:before="0" w:after="0" w:line="240" w:lineRule="auto"/>
            </w:pPr>
          </w:p>
        </w:tc>
      </w:tr>
      <w:tr w14:paraId="25C30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vMerge w:val="restart"/>
          </w:tcPr>
          <w:p w14:paraId="1CB66EA8">
            <w:pPr>
              <w:spacing w:before="0" w:after="0" w:line="240" w:lineRule="auto"/>
            </w:pPr>
            <w:r>
              <w:t>Springer Nature link</w:t>
            </w:r>
          </w:p>
        </w:tc>
        <w:tc>
          <w:tcPr>
            <w:tcW w:w="1699" w:type="dxa"/>
          </w:tcPr>
          <w:p w14:paraId="1DBFD649">
            <w:pPr>
              <w:spacing w:before="0" w:after="0" w:line="240" w:lineRule="auto"/>
            </w:pPr>
            <w:r>
              <w:t xml:space="preserve">A core IoT ontology for automation support in edge computing </w:t>
            </w:r>
            <w:r>
              <w:fldChar w:fldCharType="begin"/>
            </w:r>
            <w:r>
              <w:instrText xml:space="preserve"> ADDIN ZOTERO_ITEM CSL_CITATION {"citationID":"MWF01uKa","properties":{"unsorted":false,"formattedCitation":"[13]","plainCitation":"[13]","noteIndex":0},"citationItems":[{"id":3941,"uris":["http://zotero.org/users/16907913/items/6KLMEY6L"],"itemData":{"id":3941,"type":"article-journal","abstract":"Service providers provision more and more Internet-of-Things (IoT) services in the cloud for dynamicity and cost-effectiveness purposes. This is made possible thanks to the introduction of edge computing that brings additional computing and resources for analytics close to the data sources and thus enables meeting the low latency requirement. Edge nodes should support (i) the heterogeneity of IoT devices (e.g., sensor, actuator) and (ii) characteristics (e.g., mobility, location awareness). IoT is already integrated to the hybrid cloud/edge environment. However, the ecosystem lacks of automation due to the previously mentioned characteristics. Indeed, edge nodes are often manually selected during deployment time, and most of the regular Quality Of Service (QoS) management procedures remain difﬁcult to implement. This paper introduces a comprehensive semantic model called EdgeOnto. It encompasses all concepts related to IoT applied in the context of edge computing. The ultimate goal of EdgeOnto is to automate the several steps that make up the IoT services lifecycle in hybrid cloud/edge environment. On the one hand, semantics enable an automatic discovery of the relevant edge nodes that are suitable to host and execute IoT services considering their requirements. On the other hand, it allows supporting the speciﬁc QoS procedures that are related to such setting (e.g., low latency, mobility, jitter). The core ontology was designed with the Protégé open-source tool. A smart strawberry farming use case was implemented and evaluated for illustration purposes. The results validate the accuracy and the precision of the designed semantic matchmaker.","container-title":"Service Oriented Computing and Applications","DOI":"10.1007/s11761-022-00356-2","ISSN":"1863-2386, 1863-2394","journalAbbreviation":"SOCA","language":"en","source":"DOI.org (Crossref)","title":"A core IoT ontology for automation support in edge computing","URL":"https://link.springer.com/10.1007/s11761-022-00356-2","author":[{"family":"Ghrab","given":"Sahar"},{"family":"Lahyani","given":"Imene"},{"family":"Yangui","given":"Sami"},{"family":"Jmaiel","given":"Mohamed"}],"accessed":{"date-parts":[["2026",9,29]]},"issued":{"date-parts":[["2023",2,10]]}}}],"schema":"https://github.com/citation-style-language/schema/raw/master/csl-citation.json"} </w:instrText>
            </w:r>
            <w:r>
              <w:fldChar w:fldCharType="separate"/>
            </w:r>
            <w:r>
              <w:rPr>
                <w:rFonts w:cs="Times New Roman"/>
              </w:rPr>
              <w:t>[13]</w:t>
            </w:r>
            <w:r>
              <w:fldChar w:fldCharType="end"/>
            </w:r>
            <w:r>
              <w:t>.</w:t>
            </w:r>
          </w:p>
        </w:tc>
        <w:tc>
          <w:tcPr>
            <w:tcW w:w="2126" w:type="dxa"/>
          </w:tcPr>
          <w:p w14:paraId="638C6B49">
            <w:pPr>
              <w:spacing w:before="0" w:after="0" w:line="240" w:lineRule="auto"/>
            </w:pPr>
            <w:r>
              <w:t xml:space="preserve">Desarrollar el modelo semántico </w:t>
            </w:r>
            <w:r>
              <w:rPr>
                <w:i/>
                <w:iCs/>
              </w:rPr>
              <w:t>EdgeOnto</w:t>
            </w:r>
            <w:r>
              <w:t xml:space="preserve"> para automatizar la selección y orquestación de servicios IoT en entornos Edge/Cloud (validado en cultivo de fresas)</w:t>
            </w:r>
          </w:p>
        </w:tc>
        <w:tc>
          <w:tcPr>
            <w:tcW w:w="2126" w:type="dxa"/>
          </w:tcPr>
          <w:p w14:paraId="1CFCB546">
            <w:pPr>
              <w:spacing w:before="0" w:after="0" w:line="240" w:lineRule="auto"/>
            </w:pPr>
            <w:r>
              <w:t>Sensores DHT11, higrómetros capacitivos, cámaras HD USB, microcontroladores Arduino, Raspberry Pi 4B (nodos Edge), colectores LoRa</w:t>
            </w:r>
          </w:p>
        </w:tc>
        <w:tc>
          <w:tcPr>
            <w:tcW w:w="2127" w:type="dxa"/>
          </w:tcPr>
          <w:p w14:paraId="79DDB1DB">
            <w:pPr>
              <w:spacing w:before="0" w:after="0" w:line="240" w:lineRule="auto"/>
              <w:rPr>
                <w:lang w:val="es-EC"/>
              </w:rPr>
            </w:pPr>
            <w:r>
              <w:t>•</w:t>
            </w:r>
            <w:r>
              <w:rPr>
                <w:lang w:val="es-EC"/>
              </w:rPr>
              <w:t xml:space="preserve"> Se requirió implementar el procesamiento en el borde (Edge Computing) sobre la red local para eliminar la dependencia obligatoria de la nube.</w:t>
            </w:r>
          </w:p>
          <w:p w14:paraId="48FD1ACA">
            <w:pPr>
              <w:spacing w:before="0" w:after="0" w:line="240" w:lineRule="auto"/>
              <w:rPr>
                <w:lang w:val="es-EC"/>
              </w:rPr>
            </w:pPr>
            <w:r>
              <w:t xml:space="preserve">• </w:t>
            </w:r>
            <w:r>
              <w:rPr>
                <w:lang w:val="es-EC"/>
              </w:rPr>
              <w:t>Se identificó como requisito la captura multisensorial continua, orientada específicamente a cultivos de ciclo corto.</w:t>
            </w:r>
          </w:p>
          <w:p w14:paraId="30F99784">
            <w:pPr>
              <w:spacing w:before="0" w:after="0" w:line="240" w:lineRule="auto"/>
              <w:rPr>
                <w:lang w:val="es-EC"/>
              </w:rPr>
            </w:pPr>
            <w:r>
              <w:t>•</w:t>
            </w:r>
            <w:r>
              <w:rPr>
                <w:lang w:val="es-EC"/>
              </w:rPr>
              <w:t xml:space="preserve"> Se determinó la necesidad de contar con una orquestación local de los servicios y los intermediarios IoT.</w:t>
            </w:r>
          </w:p>
          <w:p w14:paraId="5E998D81">
            <w:pPr>
              <w:spacing w:before="0" w:after="0" w:line="240" w:lineRule="auto"/>
            </w:pPr>
          </w:p>
        </w:tc>
      </w:tr>
      <w:tr w14:paraId="2D38F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vMerge w:val="continue"/>
          </w:tcPr>
          <w:p w14:paraId="26AD7BBF">
            <w:pPr>
              <w:spacing w:before="0" w:after="0" w:line="240" w:lineRule="auto"/>
            </w:pPr>
          </w:p>
        </w:tc>
        <w:tc>
          <w:tcPr>
            <w:tcW w:w="1699" w:type="dxa"/>
          </w:tcPr>
          <w:p w14:paraId="68711BB6">
            <w:pPr>
              <w:spacing w:before="0" w:after="0" w:line="240" w:lineRule="auto"/>
            </w:pPr>
            <w:r>
              <w:t xml:space="preserve">An intent-based Web of Things query framework for smart device discovery in heterogeneous environments </w:t>
            </w:r>
            <w:r>
              <w:fldChar w:fldCharType="begin"/>
            </w:r>
            <w:r>
              <w:instrText xml:space="preserve"> ADDIN ZOTERO_ITEM CSL_CITATION {"citationID":"m3cBB50p","properties":{"unsorted":false,"formattedCitation":"[14]","plainCitation":"[14]","noteIndex":0},"citationItems":[{"id":3943,"uris":["http://zotero.org/users/16907913/items/5XJDI8JK"],"itemData":{"id":3943,"type":"article-journal","abstract":"The rapid growth of Internet of Things (IoT) deployments has made smart device discovery difficult in heterogeneous environments where devices differ in type, location, operational status, metadata structure, and communication interface. Conventional IoT search approaches often rely on keyword matching, static indexing, or predefined metadata fields, which limit their ability to interpret user intent in Web of Things (WoT) environments. This paper presents an intent-based WoT query framework for smart device discovery. The framework converts natural-language queries into structured search constraints by extracting device type, operational status, and geographic location. The prototype uses Flask, TextBlob for lightweight preprocessing and tokenization, Google Maps Geocoding API, and Apache Solr, with modular components for user interaction, robust intent extraction, geospatial resolution, query construction, retrieval, and multi-factor ranking. The evaluation was extended using a 380-query intent-robustness benchmark, a 10,000-record enriched WoT-like metadata corpus with controlled noise conditions, multi-factor ranking ablation, stronger lexical and semantic baselines, and external standards-backed validation on combined W3C Thing Description 1.1-style and OGC SensorThings-style metadata. Results show overall intent-extraction accuracy of 0.968, normalized noisy-metadata retrieval F1 of 0.978, NDCG@10 of 0.950 for full multi-factor ranking versus 0.446 for timestamp-only sorting, and clear superiority over keyword, BM25, fuzzy lexical, and TF-IDF baselines. External validation reached query success rate 0.946 and NDCG@10 0.905 on 55 labelled queries over a reproducible standards-backed corpus. Remaining limitations include spelling-error sensitivity, synthetic data constraints, the modest size of the external standards corpus, and the need to integrate the full ranking module into the live Flask/Solr interface.","container-title":"Scientific Reports","DOI":"10.1038/s41598-026-60682-9","ISSN":"2045-2322","issue":"1","journalAbbreviation":"Sci Rep","language":"en","page":"28344","source":"DOI.org (Crossref)","title":"Design and evaluation of an intent-based web of things query framework for smart device discovery","volume":"16","author":[{"family":"Tahir","given":"Salman"},{"family":"Saher","given":"Najia"},{"family":"Faheem","given":"Muhammad Rehan"},{"family":"Asghar","given":"Muhammad Nabeel"},{"family":"Iqbal","given":"Abid"},{"family":"Arif","given":"Saad"}],"issued":{"date-parts":[["2026",7,9]]}}}],"schema":"https://github.com/citation-style-language/schema/raw/master/csl-citation.json"} </w:instrText>
            </w:r>
            <w:r>
              <w:fldChar w:fldCharType="separate"/>
            </w:r>
            <w:r>
              <w:rPr>
                <w:rFonts w:cs="Times New Roman"/>
              </w:rPr>
              <w:t>[14]</w:t>
            </w:r>
            <w:r>
              <w:fldChar w:fldCharType="end"/>
            </w:r>
            <w:r>
              <w:t>.</w:t>
            </w:r>
          </w:p>
        </w:tc>
        <w:tc>
          <w:tcPr>
            <w:tcW w:w="2126" w:type="dxa"/>
          </w:tcPr>
          <w:p w14:paraId="56410057">
            <w:pPr>
              <w:spacing w:before="0" w:after="0" w:line="240" w:lineRule="auto"/>
            </w:pPr>
            <w:r>
              <w:t>Construir un marco de consultas basado en lenguaje natural para el descubrimiento dinámico y filtrado contextual de dispositivos Web of Things (WoT)</w:t>
            </w:r>
          </w:p>
        </w:tc>
        <w:tc>
          <w:tcPr>
            <w:tcW w:w="2126" w:type="dxa"/>
          </w:tcPr>
          <w:p w14:paraId="16B6E0AD">
            <w:pPr>
              <w:spacing w:before="0" w:after="0" w:line="240" w:lineRule="auto"/>
            </w:pPr>
            <w:r>
              <w:t>Servidor central (Flask, Apache Solr), arreglos de sensores/actuadores inteligentes heterogéneos y módulos GPS</w:t>
            </w:r>
          </w:p>
        </w:tc>
        <w:tc>
          <w:tcPr>
            <w:tcW w:w="2127" w:type="dxa"/>
          </w:tcPr>
          <w:p w14:paraId="47712179">
            <w:pPr>
              <w:spacing w:before="0" w:after="0" w:line="240" w:lineRule="auto"/>
              <w:rPr>
                <w:lang w:val="es-EC"/>
              </w:rPr>
            </w:pPr>
            <w:r>
              <w:t>•</w:t>
            </w:r>
            <w:r>
              <w:rPr>
                <w:lang w:val="es-EC"/>
              </w:rPr>
              <w:t xml:space="preserve"> Se estableció el requisito de exponer de forma estructurada los datos y la información procesada mediante interfaces REST API.</w:t>
            </w:r>
          </w:p>
          <w:p w14:paraId="5A1E07A1">
            <w:pPr>
              <w:spacing w:before="0" w:after="0" w:line="240" w:lineRule="auto"/>
              <w:rPr>
                <w:lang w:val="es-EC"/>
              </w:rPr>
            </w:pPr>
            <w:r>
              <w:t>•</w:t>
            </w:r>
            <w:r>
              <w:rPr>
                <w:lang w:val="es-EC"/>
              </w:rPr>
              <w:t xml:space="preserve"> Se requirió garantizar la actualización asíncrona y en tiempo real de los datos emitidos por los dispositivos.</w:t>
            </w:r>
          </w:p>
          <w:p w14:paraId="00D602E0">
            <w:pPr>
              <w:spacing w:before="0" w:after="0" w:line="240" w:lineRule="auto"/>
            </w:pPr>
          </w:p>
        </w:tc>
      </w:tr>
      <w:tr w14:paraId="3D938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vMerge w:val="continue"/>
          </w:tcPr>
          <w:p w14:paraId="3BA9DCBA">
            <w:pPr>
              <w:spacing w:before="0" w:after="0" w:line="240" w:lineRule="auto"/>
            </w:pPr>
          </w:p>
        </w:tc>
        <w:tc>
          <w:tcPr>
            <w:tcW w:w="1699" w:type="dxa"/>
          </w:tcPr>
          <w:p w14:paraId="7E85A123">
            <w:pPr>
              <w:spacing w:before="0" w:after="0" w:line="240" w:lineRule="auto"/>
            </w:pPr>
            <w:r>
              <w:t xml:space="preserve">Design and implementation of an interface architecture for automated IoT device testing platforms </w:t>
            </w:r>
            <w:r>
              <w:fldChar w:fldCharType="begin"/>
            </w:r>
            <w:r>
              <w:instrText xml:space="preserve"> ADDIN ZOTERO_ITEM CSL_CITATION {"citationID":"caUZnroS","properties":{"unsorted":false,"formattedCitation":"[15]","plainCitation":"[15]","noteIndex":0},"citationItems":[{"id":3944,"uris":["http://zotero.org/users/16907913/items/C76QV5IT"],"itemData":{"id":3944,"type":"article-journal","abstract":"This paper presents the design and validation of a modular interface architecture for automated testing of IoT devices. The proposed system integrates asynchronous communication, real-time environmental data visualization, and support for multiple network protocols such as MQTT and HTTP/REST. The backend is implemented in Python using FastAPI, while the frontend utilizes a custom GUI developed in Tkinter. Testing was performed under normal, boundary, and failure conditions, with both simulated and physical sensor inputs. Results show reduced manual effort, improved reproducibility, and compatibility with CI/CD workflows.","container-title":"Energy Informatics","DOI":"10.1186/s42162-026-00629-6","ISSN":"2520-8942","issue":"1","journalAbbreviation":"Energy Inform","language":"en","page":"28","source":"DOI.org (Crossref)","title":"Design and implementation of an interface architecture for automated IoT device testing platforms","volume":"9","author":[{"family":"Mukhiyadin","given":"Ainur"},{"family":"Akmoldina","given":"Anara"},{"family":"Tainova","given":"Karlygash"},{"family":"Abdrahmanov","given":"Darkhan"}],"issued":{"date-parts":[["2026",2,3]]}}}],"schema":"https://github.com/citation-style-language/schema/raw/master/csl-citation.json"} </w:instrText>
            </w:r>
            <w:r>
              <w:fldChar w:fldCharType="separate"/>
            </w:r>
            <w:r>
              <w:rPr>
                <w:rFonts w:cs="Times New Roman"/>
              </w:rPr>
              <w:t>[15]</w:t>
            </w:r>
            <w:r>
              <w:fldChar w:fldCharType="end"/>
            </w:r>
            <w:r>
              <w:t>.</w:t>
            </w:r>
          </w:p>
        </w:tc>
        <w:tc>
          <w:tcPr>
            <w:tcW w:w="2126" w:type="dxa"/>
          </w:tcPr>
          <w:p w14:paraId="6783A630">
            <w:pPr>
              <w:spacing w:before="0" w:after="0" w:line="240" w:lineRule="auto"/>
            </w:pPr>
            <w:r>
              <w:t>Diseñar una arquitectura modular para la automatización de pruebas de rendimiento, estrés y tolerancia a fallos en dispositivos IoT</w:t>
            </w:r>
          </w:p>
        </w:tc>
        <w:tc>
          <w:tcPr>
            <w:tcW w:w="2126" w:type="dxa"/>
          </w:tcPr>
          <w:p w14:paraId="408B5D9F">
            <w:pPr>
              <w:spacing w:before="0" w:after="0" w:line="240" w:lineRule="auto"/>
            </w:pPr>
            <w:r>
              <w:t>Broker MQTT Mosquitto, backend en Python (FastAPI), interfaz gráfica Tkinter y sensores simulados/físicos</w:t>
            </w:r>
          </w:p>
        </w:tc>
        <w:tc>
          <w:tcPr>
            <w:tcW w:w="2127" w:type="dxa"/>
          </w:tcPr>
          <w:p w14:paraId="11344B16">
            <w:pPr>
              <w:spacing w:before="0" w:after="0" w:line="240" w:lineRule="auto"/>
              <w:rPr>
                <w:lang w:val="es-EC"/>
              </w:rPr>
            </w:pPr>
            <w:r>
              <w:t>•</w:t>
            </w:r>
            <w:r>
              <w:rPr>
                <w:lang w:val="es-EC"/>
              </w:rPr>
              <w:t xml:space="preserve"> Se identificó como requisito técnico fundamental el uso del protocolo asíncrono MQTT y la implementación de un Broker Mosquitto local.</w:t>
            </w:r>
          </w:p>
          <w:p w14:paraId="1E314E94">
            <w:pPr>
              <w:spacing w:before="0" w:after="0" w:line="240" w:lineRule="auto"/>
              <w:rPr>
                <w:lang w:val="es-EC"/>
              </w:rPr>
            </w:pPr>
            <w:r>
              <w:t>•</w:t>
            </w:r>
            <w:r>
              <w:rPr>
                <w:lang w:val="es-EC"/>
              </w:rPr>
              <w:t xml:space="preserve"> Se estableció la necesidad de ejecutar pruebas de carga masiva y concurrencia para validar la arquitectura.</w:t>
            </w:r>
          </w:p>
          <w:p w14:paraId="64A05775">
            <w:pPr>
              <w:spacing w:before="0" w:after="0" w:line="240" w:lineRule="auto"/>
              <w:rPr>
                <w:lang w:val="es-EC"/>
              </w:rPr>
            </w:pPr>
            <w:r>
              <w:t>•</w:t>
            </w:r>
            <w:r>
              <w:rPr>
                <w:lang w:val="es-EC"/>
              </w:rPr>
              <w:t xml:space="preserve"> Se determinó la obligación de medir la latencia específica en el procesamiento de las tramas de datos JSON.</w:t>
            </w:r>
          </w:p>
          <w:p w14:paraId="1C6003A8">
            <w:pPr>
              <w:spacing w:before="0" w:after="0" w:line="240" w:lineRule="auto"/>
            </w:pPr>
          </w:p>
        </w:tc>
      </w:tr>
      <w:tr w14:paraId="303D6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vMerge w:val="continue"/>
          </w:tcPr>
          <w:p w14:paraId="1344E17B">
            <w:pPr>
              <w:spacing w:before="0" w:after="0" w:line="240" w:lineRule="auto"/>
            </w:pPr>
          </w:p>
        </w:tc>
        <w:tc>
          <w:tcPr>
            <w:tcW w:w="1699" w:type="dxa"/>
          </w:tcPr>
          <w:p w14:paraId="548AE767">
            <w:pPr>
              <w:spacing w:before="0" w:after="0" w:line="240" w:lineRule="auto"/>
            </w:pPr>
            <w:r>
              <w:t xml:space="preserve">An Internet of Robotic Things reference architecture for sustainable agriculture </w:t>
            </w:r>
            <w:r>
              <w:fldChar w:fldCharType="begin"/>
            </w:r>
            <w:r>
              <w:instrText xml:space="preserve"> ADDIN ZOTERO_ITEM CSL_CITATION {"citationID":"G47zoRCh","properties":{"unsorted":false,"formattedCitation":"[16]","plainCitation":"[16]","noteIndex":0},"citationItems":[{"id":3942,"uris":["http://zotero.org/users/16907913/items/9E3VGY7V"],"itemData":{"id":3942,"type":"article-journal","abstract":"In recent years, the integration of Internet of Things (IoT) and Robotics has advanced agro-ecological practices. Despite numerous solutions for specific farming applications, a comprehensive reference architecture that addresses the diverse data management and operational requirements of agro-ecology remains absent. This paper introduces a concept of novel architecture for an Internet of Robotic Things (IoRT) system designed to manage the voluminous, real-time, and heterogeneous data in agricultural applications. By leveraging existing frameworks and technologies, this architecture aims to provide robust data management, ensure data quality, and support sustainable farming practices. The proposed architecture is demonstrated through case studies, which show its applicability and efficiency in real-world scenarios. This work is aimed at providing a guideline for researchers and engineers in developing and implementing smart farming solutions with Big Data, IoT and Robotics.","container-title":"Journal of Big Data","DOI":"10.1186/s40537-025-01253-z","ISSN":"2196-1115","issue":"1","journalAbbreviation":"J Big Data","language":"en","page":"195","source":"DOI.org (Crossref)","title":"Data engineering for sustainable agriculture: developments, challenges, and case studies of a novel IoRT architecture","title-short":"Data engineering for sustainable agriculture","volume":"12","author":[{"family":"Bimonte","given":"Sandro"},{"family":"Bellocchi","given":"Gianni"},{"family":"Pinet","given":"François"},{"family":"Chalhoub","given":"Gérard"},{"family":"Sakr","given":"Mahmoud"},{"family":"Skrzypczyński","given":"Piotr"}],"issued":{"date-parts":[["2025",8,2]]}}}],"schema":"https://github.com/citation-style-language/schema/raw/master/csl-citation.json"} </w:instrText>
            </w:r>
            <w:r>
              <w:fldChar w:fldCharType="separate"/>
            </w:r>
            <w:r>
              <w:rPr>
                <w:rFonts w:cs="Times New Roman"/>
              </w:rPr>
              <w:t>[16]</w:t>
            </w:r>
            <w:r>
              <w:fldChar w:fldCharType="end"/>
            </w:r>
            <w:r>
              <w:t>.</w:t>
            </w:r>
          </w:p>
        </w:tc>
        <w:tc>
          <w:tcPr>
            <w:tcW w:w="2126" w:type="dxa"/>
          </w:tcPr>
          <w:p w14:paraId="6FDC2B57">
            <w:pPr>
              <w:spacing w:before="0" w:after="0" w:line="240" w:lineRule="auto"/>
            </w:pPr>
            <w:r>
              <w:t>Formular una arquitectura de referencia para Internet de Cosas Robóticas (IoRT) en agricultura sostenible, combinando Big Data, sensores y robótica.</w:t>
            </w:r>
          </w:p>
        </w:tc>
        <w:tc>
          <w:tcPr>
            <w:tcW w:w="2126" w:type="dxa"/>
          </w:tcPr>
          <w:p w14:paraId="6C778909">
            <w:pPr>
              <w:spacing w:before="0" w:after="0" w:line="240" w:lineRule="auto"/>
            </w:pPr>
            <w:r>
              <w:t>Robots agrícolas autónomos (ROS2), sensores fijos/móviles, microcomputadores de borde/fog y receptores GNSS/RTK.</w:t>
            </w:r>
          </w:p>
        </w:tc>
        <w:tc>
          <w:tcPr>
            <w:tcW w:w="2127" w:type="dxa"/>
          </w:tcPr>
          <w:p w14:paraId="0C003DE2">
            <w:pPr>
              <w:spacing w:before="0" w:after="0" w:line="240" w:lineRule="auto"/>
              <w:rPr>
                <w:lang w:val="es-EC"/>
              </w:rPr>
            </w:pPr>
            <w:r>
              <w:t>•</w:t>
            </w:r>
            <w:r>
              <w:rPr>
                <w:lang w:val="es-EC"/>
              </w:rPr>
              <w:t xml:space="preserve"> Se requirió aplicar un procesamiento distribuido en el borde (Edge/Fog) para asegurar niveles de baja latencia.</w:t>
            </w:r>
          </w:p>
          <w:p w14:paraId="0052BA48">
            <w:pPr>
              <w:spacing w:before="0" w:after="0" w:line="240" w:lineRule="auto"/>
              <w:rPr>
                <w:lang w:val="es-EC"/>
              </w:rPr>
            </w:pPr>
            <w:r>
              <w:t>•</w:t>
            </w:r>
            <w:r>
              <w:rPr>
                <w:lang w:val="es-EC"/>
              </w:rPr>
              <w:t xml:space="preserve"> Se identificó la necesidad de establecer una ubicación física estratégica y adecuada para los arreglos multisensoriales.</w:t>
            </w:r>
          </w:p>
          <w:p w14:paraId="00C111F5">
            <w:pPr>
              <w:spacing w:before="0" w:after="0" w:line="240" w:lineRule="auto"/>
              <w:rPr>
                <w:lang w:val="es-EC"/>
              </w:rPr>
            </w:pPr>
            <w:r>
              <w:t>•</w:t>
            </w:r>
            <w:r>
              <w:rPr>
                <w:lang w:val="es-EC"/>
              </w:rPr>
              <w:t xml:space="preserve"> Se estableció como requerimiento estructurar de forma persistente los datos espacio-temporales generados por el sistema.</w:t>
            </w:r>
          </w:p>
          <w:p w14:paraId="40D115C8">
            <w:pPr>
              <w:spacing w:before="0" w:after="0" w:line="240" w:lineRule="auto"/>
            </w:pPr>
          </w:p>
        </w:tc>
      </w:tr>
    </w:tbl>
    <w:p w14:paraId="78361096"/>
    <w:p w14:paraId="40C02665">
      <w:pPr>
        <w:pStyle w:val="2"/>
        <w:numPr>
          <w:ilvl w:val="0"/>
          <w:numId w:val="1"/>
        </w:numPr>
      </w:pPr>
      <w:bookmarkStart w:id="10" w:name="_Toc241589454"/>
      <w:r>
        <w:t>Resultados</w:t>
      </w:r>
      <w:bookmarkEnd w:id="10"/>
    </w:p>
    <w:p w14:paraId="00000062">
      <w:pPr>
        <w:pStyle w:val="3"/>
        <w:numPr>
          <w:ilvl w:val="1"/>
          <w:numId w:val="1"/>
        </w:numPr>
        <w:ind w:left="0" w:firstLine="0"/>
      </w:pPr>
      <w:bookmarkStart w:id="11" w:name="_Toc241589455"/>
      <w:r>
        <w:t>Respuesta a la Pregunta</w:t>
      </w:r>
      <w:bookmarkEnd w:id="11"/>
    </w:p>
    <w:p w14:paraId="4F985EFA">
      <w:pPr>
        <w:jc w:val="both"/>
        <w:rPr>
          <w:lang w:val="es-EC"/>
        </w:rPr>
      </w:pPr>
      <w:r>
        <w:rPr>
          <w:lang w:val="es-EC"/>
        </w:rPr>
        <w:t>A partir del análisis de los artículos seleccionados en las bases de datos (Science Direct, IEEE Xplore y Springer Nature), se da respuesta a la pregunta de investigación identificando los componentes físicos y los requerimientos claves que rigen el diseño de las arquitecturas agro-IoT en los últimos 5 años.</w:t>
      </w:r>
    </w:p>
    <w:p w14:paraId="75B15002">
      <w:pPr>
        <w:pStyle w:val="3"/>
        <w:numPr>
          <w:ilvl w:val="2"/>
          <w:numId w:val="1"/>
        </w:numPr>
        <w:ind w:left="505" w:hanging="505"/>
      </w:pPr>
      <w:bookmarkStart w:id="12" w:name="_Toc241589456"/>
      <w:r>
        <w:t>Componentes de hardware</w:t>
      </w:r>
      <w:bookmarkEnd w:id="12"/>
      <w:r>
        <w:t xml:space="preserve"> </w:t>
      </w:r>
    </w:p>
    <w:p w14:paraId="23806E92">
      <w:pPr>
        <w:jc w:val="both"/>
        <w:rPr>
          <w:lang w:val="es-EC"/>
        </w:rPr>
      </w:pPr>
      <w:r>
        <w:rPr>
          <w:lang w:val="es-EC"/>
        </w:rPr>
        <w:t>La literatura evidencia una tendencia estandarizada hacia la selección de componentes de bajo costo, alta disponibilidad y fácil integración. Se destaca el uso predominante de microcontroladores con conectividad inalámbrica nativa, especialmente la familia ESP (como el ESP32, ESP32-CAM y ESP8266), acompañados de placas Arduino y microcomputadores como Raspberry Pi para asumir roles de pasarela (Gateway) o procesamiento Edge. Para la captura de variables agroclimáticas, los nodos de campo emplean arreglos de sensores heterogéneos que miden condiciones vitales del cultivo (sensores capacitivos para humedad de suelo, módulos DHT para temperatura/humedad ambiental, medidores de pH, y fotorresistencias). Además, por la naturaleza remota de las implementaciones agrícolas, el hardware se complementa frecuentemente con sistemas de recolección de energía, como paneles solares y baterías.</w:t>
      </w:r>
    </w:p>
    <w:p w14:paraId="111E9109">
      <w:pPr>
        <w:pStyle w:val="3"/>
        <w:numPr>
          <w:ilvl w:val="2"/>
          <w:numId w:val="1"/>
        </w:numPr>
        <w:ind w:left="505" w:hanging="505"/>
      </w:pPr>
      <w:bookmarkStart w:id="13" w:name="_Toc241589457"/>
      <w:r>
        <w:t>Requisitos del sistema</w:t>
      </w:r>
      <w:bookmarkEnd w:id="13"/>
    </w:p>
    <w:p w14:paraId="7259A369">
      <w:pPr>
        <w:jc w:val="both"/>
        <w:rPr>
          <w:lang w:val="es-EC"/>
        </w:rPr>
      </w:pPr>
      <w:r>
        <w:rPr>
          <w:b/>
          <w:bCs/>
          <w:lang w:val="es-EC"/>
        </w:rPr>
        <w:t>Requisitos Funcionales:</w:t>
      </w:r>
    </w:p>
    <w:p w14:paraId="03337CA0">
      <w:pPr>
        <w:jc w:val="both"/>
        <w:rPr>
          <w:lang w:val="es-EC"/>
        </w:rPr>
      </w:pPr>
    </w:p>
    <w:p w14:paraId="5CAED05F">
      <w:pPr>
        <w:numPr>
          <w:ilvl w:val="0"/>
          <w:numId w:val="5"/>
        </w:numPr>
        <w:jc w:val="both"/>
        <w:rPr>
          <w:lang w:val="es-EC"/>
        </w:rPr>
      </w:pPr>
      <w:r>
        <w:rPr>
          <w:b/>
          <w:bCs/>
          <w:lang w:val="es-EC"/>
        </w:rPr>
        <w:t>Captura multisensorial continua:</w:t>
      </w:r>
      <w:r>
        <w:rPr>
          <w:lang w:val="es-EC"/>
        </w:rPr>
        <w:t xml:space="preserve"> El sistema debe garantizar el muestreo multicanal simultáneo y la lectura precisa de sensores tanto analógicos como digitales desplegados en el campo.</w:t>
      </w:r>
    </w:p>
    <w:p w14:paraId="397CBF01">
      <w:pPr>
        <w:numPr>
          <w:ilvl w:val="0"/>
          <w:numId w:val="5"/>
        </w:numPr>
        <w:jc w:val="both"/>
        <w:rPr>
          <w:lang w:val="es-EC"/>
        </w:rPr>
      </w:pPr>
      <w:r>
        <w:rPr>
          <w:b/>
          <w:bCs/>
          <w:lang w:val="es-EC"/>
        </w:rPr>
        <w:t>Transmisión y comunicación asíncrona:</w:t>
      </w:r>
      <w:r>
        <w:rPr>
          <w:lang w:val="es-EC"/>
        </w:rPr>
        <w:t xml:space="preserve"> Es imperativo establecer un transporte de datos mediante modelos de publicación/suscripción (Publish/Subscribe). La literatura resalta la implementación del protocolo MQTT (utilizando brokers locales como Mosquitto) para la transmisión ligera y continua de tramas de datos (ej. formato JSON).</w:t>
      </w:r>
    </w:p>
    <w:p w14:paraId="01B851D3">
      <w:pPr>
        <w:numPr>
          <w:ilvl w:val="0"/>
          <w:numId w:val="5"/>
        </w:numPr>
        <w:jc w:val="both"/>
        <w:rPr>
          <w:lang w:val="es-EC"/>
        </w:rPr>
      </w:pPr>
      <w:r>
        <w:rPr>
          <w:b/>
          <w:bCs/>
          <w:lang w:val="es-EC"/>
        </w:rPr>
        <w:t>Procesamiento local (Edge Computing):</w:t>
      </w:r>
      <w:r>
        <w:rPr>
          <w:lang w:val="es-EC"/>
        </w:rPr>
        <w:t xml:space="preserve"> Se requiere que el sistema posea la capacidad de preprocesar datos, orquestar servicios y almacenar información localmente. Esto permite que la arquitectura opere de manera autónoma en una red local privada, eliminando la dependencia obligatoria de una conexión constante a la nube.</w:t>
      </w:r>
    </w:p>
    <w:p w14:paraId="1727B192">
      <w:pPr>
        <w:numPr>
          <w:ilvl w:val="0"/>
          <w:numId w:val="5"/>
        </w:numPr>
        <w:jc w:val="both"/>
        <w:rPr>
          <w:lang w:val="es-EC"/>
        </w:rPr>
      </w:pPr>
      <w:r>
        <w:rPr>
          <w:b/>
          <w:bCs/>
          <w:lang w:val="es-EC"/>
        </w:rPr>
        <w:t>Visualización y exposición de información:</w:t>
      </w:r>
      <w:r>
        <w:rPr>
          <w:lang w:val="es-EC"/>
        </w:rPr>
        <w:t xml:space="preserve"> El sistema debe integrar el despliegue de dashboards web que se actualicen de forma asíncrona y en tiempo real, respaldados por un backend (ej. FastAPI o Flask) que exponga los datos estructurados a través de interfaces REST API.</w:t>
      </w:r>
    </w:p>
    <w:p w14:paraId="68D3DE11">
      <w:pPr>
        <w:numPr>
          <w:ilvl w:val="0"/>
          <w:numId w:val="5"/>
        </w:numPr>
        <w:jc w:val="both"/>
        <w:rPr>
          <w:lang w:val="es-EC"/>
        </w:rPr>
      </w:pPr>
      <w:r>
        <w:rPr>
          <w:b/>
          <w:bCs/>
          <w:lang w:val="es-EC"/>
        </w:rPr>
        <w:t>Intervención manual y controlada:</w:t>
      </w:r>
      <w:r>
        <w:rPr>
          <w:lang w:val="es-EC"/>
        </w:rPr>
        <w:t xml:space="preserve"> Además de la automatización natural del monitoreo y riego, se requiere permitir la alteración manual de los actuadores para ejecutar pruebas de perturbación y control en sitio.</w:t>
      </w:r>
    </w:p>
    <w:p w14:paraId="22FB3394">
      <w:pPr>
        <w:jc w:val="both"/>
        <w:rPr>
          <w:lang w:val="es-EC"/>
        </w:rPr>
      </w:pPr>
      <w:r>
        <w:rPr>
          <w:b/>
          <w:bCs/>
          <w:lang w:val="es-EC"/>
        </w:rPr>
        <w:t>Requisitos No Funcionales:</w:t>
      </w:r>
    </w:p>
    <w:p w14:paraId="19F682D8">
      <w:pPr>
        <w:numPr>
          <w:ilvl w:val="0"/>
          <w:numId w:val="6"/>
        </w:numPr>
        <w:jc w:val="both"/>
        <w:rPr>
          <w:lang w:val="es-EC"/>
        </w:rPr>
      </w:pPr>
      <w:r>
        <w:rPr>
          <w:b/>
          <w:bCs/>
          <w:lang w:val="es-EC"/>
        </w:rPr>
        <w:t>Ultra Bajo Consumo Energético:</w:t>
      </w:r>
      <w:r>
        <w:rPr>
          <w:lang w:val="es-EC"/>
        </w:rPr>
        <w:t xml:space="preserve"> Es un requerimiento crítico para los nodos de sensores, lo que obliga al uso de hardware energéticamente eficiente y a la programación de estados de suspensión (sleep modes) para prolongar la autonomía.</w:t>
      </w:r>
    </w:p>
    <w:p w14:paraId="21065649">
      <w:pPr>
        <w:numPr>
          <w:ilvl w:val="0"/>
          <w:numId w:val="6"/>
        </w:numPr>
        <w:jc w:val="both"/>
        <w:rPr>
          <w:lang w:val="es-EC"/>
        </w:rPr>
      </w:pPr>
      <w:r>
        <w:rPr>
          <w:b/>
          <w:bCs/>
          <w:lang w:val="es-EC"/>
        </w:rPr>
        <w:t>Rendimiento y Baja Latencia:</w:t>
      </w:r>
      <w:r>
        <w:rPr>
          <w:lang w:val="es-EC"/>
        </w:rPr>
        <w:t xml:space="preserve"> La arquitectura debe diseñarse para evitar cuellos de botella y soportar tráfico concurrente masivo. Se exige garantizar y medir una latencia reducida en la transmisión Máquina a Máquina (M2M) utilizando marcas de tiempo (timestamps) para asegurar la Calidad de Servicio (QoS).</w:t>
      </w:r>
    </w:p>
    <w:p w14:paraId="0B2902BE">
      <w:pPr>
        <w:numPr>
          <w:ilvl w:val="0"/>
          <w:numId w:val="6"/>
        </w:numPr>
        <w:jc w:val="both"/>
        <w:rPr>
          <w:lang w:val="es-EC"/>
        </w:rPr>
      </w:pPr>
      <w:r>
        <w:rPr>
          <w:b/>
          <w:bCs/>
          <w:lang w:val="es-EC"/>
        </w:rPr>
        <w:t>Tolerancia y Resiliencia Física:</w:t>
      </w:r>
      <w:r>
        <w:rPr>
          <w:lang w:val="es-EC"/>
        </w:rPr>
        <w:t xml:space="preserve"> Los componentes físicos deben asegurar una operación estable frente a variaciones térmicas extremas (ej. 40 °C – 51 °C) y condiciones de intemperie propias de un entorno agrícola.</w:t>
      </w:r>
    </w:p>
    <w:p w14:paraId="3F5AECCB">
      <w:pPr>
        <w:numPr>
          <w:ilvl w:val="0"/>
          <w:numId w:val="6"/>
        </w:numPr>
        <w:jc w:val="both"/>
        <w:rPr>
          <w:lang w:val="es-EC"/>
        </w:rPr>
      </w:pPr>
      <w:r>
        <w:rPr>
          <w:b/>
          <w:bCs/>
          <w:lang w:val="es-EC"/>
        </w:rPr>
        <w:t>Validación de la Arquitectura:</w:t>
      </w:r>
      <w:r>
        <w:rPr>
          <w:lang w:val="es-EC"/>
        </w:rPr>
        <w:t xml:space="preserve"> Es obligatorio someter el sistema a pruebas de rendimiento, estrés, usabilidad y tolerancia a fallos en entornos seguros antes de su despliegue final en los cultivos.</w:t>
      </w:r>
    </w:p>
    <w:p w14:paraId="6509B7C0">
      <w:pPr>
        <w:jc w:val="both"/>
      </w:pPr>
    </w:p>
    <w:p w14:paraId="236B7AC3">
      <w:pPr>
        <w:pStyle w:val="2"/>
        <w:numPr>
          <w:ilvl w:val="0"/>
          <w:numId w:val="1"/>
        </w:numPr>
      </w:pPr>
      <w:bookmarkStart w:id="14" w:name="_Toc241589458"/>
      <w:r>
        <w:t>Conclusión</w:t>
      </w:r>
      <w:bookmarkEnd w:id="14"/>
    </w:p>
    <w:p w14:paraId="5A3869BA">
      <w:pPr>
        <w:jc w:val="both"/>
        <w:rPr>
          <w:lang w:val="es-EC"/>
        </w:rPr>
      </w:pPr>
      <w:r>
        <w:rPr>
          <w:lang w:val="es-EC"/>
        </w:rPr>
        <w:t xml:space="preserve">La ejecución de esta revisión bibliográfica, respaldada por el análisis sistemático de 13 artículos científicos, ha permitido establecer un marco sólido para la definición de los requerimientos técnicos del sistema. La literatura revisada demuestra de manera concluyente que el éxito de los prototipos orientados al monitoreo agroclimático y el riego automatizado radica en lograr un equilibrio estricto entre el bajo costo de implementación, la tolerancia a entornos físicos hostiles y una alta eficiencia energética. </w:t>
      </w:r>
    </w:p>
    <w:p w14:paraId="44D46675">
      <w:pPr>
        <w:jc w:val="both"/>
        <w:rPr>
          <w:lang w:val="es-EC"/>
        </w:rPr>
      </w:pPr>
      <w:r>
        <w:rPr>
          <w:lang w:val="es-EC"/>
        </w:rPr>
        <w:t>Se ha corroborado que la selección de microcontroladores con conectividad nativa, como la familia de placas ESP32, junto con arreglos de sensores estandarizados, representa el enfoque predominante en la actualidad. Asimismo, la implementación de protocolos de mensajería asíncrona y ligera como MQTT mediante brokers locales (ej. Mosquitto), resulta indispensable para solventar las necesidades de transporte de datos y el procesamiento en el borde (Edge Computing) sin depender exclusivamente de infraestructuras en la nube. Esta integración tecnológica justifica y satisface plenamente las exigencias operativas requeridas para el Dominio de Entidades Físicas dentro de arquitecturas de referencia estandarizadas, como la norma ISO/IEC 30141.</w:t>
      </w:r>
    </w:p>
    <w:p w14:paraId="7FBA1BF5">
      <w:pPr>
        <w:pStyle w:val="2"/>
        <w:numPr>
          <w:ilvl w:val="0"/>
          <w:numId w:val="1"/>
        </w:numPr>
      </w:pPr>
      <w:bookmarkStart w:id="15" w:name="_Toc241589459"/>
      <w:r>
        <w:t>Referencias</w:t>
      </w:r>
      <w:bookmarkEnd w:id="15"/>
      <w:r>
        <w:t xml:space="preserve"> </w:t>
      </w:r>
    </w:p>
    <w:p w14:paraId="59E8563F">
      <w:pPr>
        <w:pStyle w:val="23"/>
      </w:pPr>
      <w:r>
        <w:fldChar w:fldCharType="begin"/>
      </w:r>
      <w:r>
        <w:instrText xml:space="preserve"> ADDIN ZOTERO_BIBL {"uncited":[],"omitted":[],"custom":[]} CSL_BIBLIOGRAPHY </w:instrText>
      </w:r>
      <w:r>
        <w:fldChar w:fldCharType="separate"/>
      </w:r>
      <w:r>
        <w:t>[1]</w:t>
      </w:r>
      <w:r>
        <w:tab/>
      </w:r>
      <w:r>
        <w:t xml:space="preserve">E. Effah, O. Thiare, y A. M. Wyglinski, «A Tutorial on Agricultural IoT: Fundamental Concepts, Architectures, Routing, and Optimization», </w:t>
      </w:r>
      <w:r>
        <w:rPr>
          <w:i/>
          <w:iCs/>
        </w:rPr>
        <w:t>IoT</w:t>
      </w:r>
      <w:r>
        <w:t>, vol. 4, n.</w:t>
      </w:r>
      <w:r>
        <w:rPr>
          <w:vertAlign w:val="superscript"/>
        </w:rPr>
        <w:t>o</w:t>
      </w:r>
      <w:r>
        <w:t xml:space="preserve"> 3, pp. 265-318, jul. 2023, doi: 10.3390/iot4030014.</w:t>
      </w:r>
    </w:p>
    <w:p w14:paraId="41419204">
      <w:pPr>
        <w:pStyle w:val="23"/>
      </w:pPr>
      <w:r>
        <w:t>[2]</w:t>
      </w:r>
      <w:r>
        <w:tab/>
      </w:r>
      <w:r>
        <w:t xml:space="preserve">A. Soussi, E. Zero, R. Sacile, D. Trinchero, y M. Fossa, «Smart Sensors and Smart Data for Precision Agriculture: A Review», </w:t>
      </w:r>
      <w:r>
        <w:rPr>
          <w:i/>
          <w:iCs/>
        </w:rPr>
        <w:t>Sensors</w:t>
      </w:r>
      <w:r>
        <w:t>, vol. 24, n.</w:t>
      </w:r>
      <w:r>
        <w:rPr>
          <w:vertAlign w:val="superscript"/>
        </w:rPr>
        <w:t>o</w:t>
      </w:r>
      <w:r>
        <w:t xml:space="preserve"> 8, p. 2647, abr. 2024, doi: 10.3390/s24082647.</w:t>
      </w:r>
    </w:p>
    <w:p w14:paraId="0B8B8936">
      <w:pPr>
        <w:pStyle w:val="23"/>
      </w:pPr>
      <w:r>
        <w:t>[3]</w:t>
      </w:r>
      <w:r>
        <w:tab/>
      </w:r>
      <w:r>
        <w:t xml:space="preserve">H. Snyder, «Literature review as a research methodology: An overview and guidelines», </w:t>
      </w:r>
      <w:r>
        <w:rPr>
          <w:i/>
          <w:iCs/>
        </w:rPr>
        <w:t>J. Bus. Res.</w:t>
      </w:r>
      <w:r>
        <w:t>, vol. 104, pp. 333-339, nov. 2019, doi: 10.1016/j.jbusres.2019.07.039.</w:t>
      </w:r>
    </w:p>
    <w:p w14:paraId="031B835C">
      <w:pPr>
        <w:pStyle w:val="23"/>
      </w:pPr>
      <w:r>
        <w:t>[4]</w:t>
      </w:r>
      <w:r>
        <w:tab/>
      </w:r>
      <w:r>
        <w:t xml:space="preserve">C. Sheline </w:t>
      </w:r>
      <w:r>
        <w:rPr>
          <w:i/>
          <w:iCs/>
        </w:rPr>
        <w:t>et al.</w:t>
      </w:r>
      <w:r>
        <w:t xml:space="preserve">, «Technical validation of the Predictive Optimal Water and Energy Irrigation (POWEIr) controller for solar-powered drip irrigation», </w:t>
      </w:r>
      <w:r>
        <w:rPr>
          <w:i/>
          <w:iCs/>
        </w:rPr>
        <w:t>Smart Agric. Technol.</w:t>
      </w:r>
      <w:r>
        <w:t>, vol. 14, p. 102147, ago. 2026, doi: 10.1016/j.atech.2026.102147.</w:t>
      </w:r>
    </w:p>
    <w:p w14:paraId="518B1060">
      <w:pPr>
        <w:pStyle w:val="23"/>
      </w:pPr>
      <w:r>
        <w:t>[5]</w:t>
      </w:r>
      <w:r>
        <w:tab/>
      </w:r>
      <w:r>
        <w:t xml:space="preserve">A. Mishra, Y. I. Alzoubi, y N. Gavrilovic, «Quality attributes of software architecture in IoT-based agricultural systems», </w:t>
      </w:r>
      <w:r>
        <w:rPr>
          <w:i/>
          <w:iCs/>
        </w:rPr>
        <w:t>Smart Agric. Technol.</w:t>
      </w:r>
      <w:r>
        <w:t>, vol. 8, p. 100523, ago. 2024, doi: 10.1016/j.atech.2024.100523.</w:t>
      </w:r>
    </w:p>
    <w:p w14:paraId="5F00164E">
      <w:pPr>
        <w:pStyle w:val="23"/>
      </w:pPr>
      <w:r>
        <w:t>[6]</w:t>
      </w:r>
      <w:r>
        <w:tab/>
      </w:r>
      <w:r>
        <w:t xml:space="preserve">J. B. Minani </w:t>
      </w:r>
      <w:r>
        <w:rPr>
          <w:i/>
          <w:iCs/>
        </w:rPr>
        <w:t>et al.</w:t>
      </w:r>
      <w:r>
        <w:t xml:space="preserve">, «IoT systems testing: Taxonomy, empirical findings, and recommendations», </w:t>
      </w:r>
      <w:r>
        <w:rPr>
          <w:i/>
          <w:iCs/>
        </w:rPr>
        <w:t>J. Syst. Softw.</w:t>
      </w:r>
      <w:r>
        <w:t>, vol. 226, p. 112408, ago. 2025, doi: 10.1016/j.jss.2025.112408.</w:t>
      </w:r>
    </w:p>
    <w:p w14:paraId="2164A09B">
      <w:pPr>
        <w:pStyle w:val="23"/>
      </w:pPr>
      <w:r>
        <w:t>[7]</w:t>
      </w:r>
      <w:r>
        <w:tab/>
      </w:r>
      <w:r>
        <w:t xml:space="preserve">A. Zuhaer, A. Khandoker, N. Enayet, P. K. P. Partha, y Md. A. Awal, «Sustainable aquaculture: An Iot-integrated system for real-time water quality monitoring featuring advanced do and ammonia sensors», </w:t>
      </w:r>
      <w:r>
        <w:rPr>
          <w:i/>
          <w:iCs/>
        </w:rPr>
        <w:t>Aquac. Eng.</w:t>
      </w:r>
      <w:r>
        <w:t>, vol. 112, p. 102620, ene. 2026, doi: 10.1016/j.aquaeng.2025.102620.</w:t>
      </w:r>
    </w:p>
    <w:p w14:paraId="2C720DDC">
      <w:pPr>
        <w:pStyle w:val="23"/>
      </w:pPr>
      <w:r>
        <w:t>[8]</w:t>
      </w:r>
      <w:r>
        <w:tab/>
      </w:r>
      <w:r>
        <w:t xml:space="preserve">N. Wang, G. Zhu, R. Zhang, H. Zhen, B. Guo, y G. Papadakis, «Multi-sensor fusion based intelligent greenhouse environmental control system with LabVIEW and GA-optimized fuzzy control», </w:t>
      </w:r>
      <w:r>
        <w:rPr>
          <w:i/>
          <w:iCs/>
        </w:rPr>
        <w:t>Smart Agric. Technol.</w:t>
      </w:r>
      <w:r>
        <w:t>, vol. 15, p. 102508, dic. 2026, doi: 10.1016/j.atech.2026.102508.</w:t>
      </w:r>
    </w:p>
    <w:p w14:paraId="2E8A8990">
      <w:pPr>
        <w:pStyle w:val="23"/>
      </w:pPr>
      <w:r>
        <w:t>[9]</w:t>
      </w:r>
      <w:r>
        <w:tab/>
      </w:r>
      <w:r>
        <w:t xml:space="preserve">X. Liu, R. Liu, X. Zhang, A. G. Abate, P. S. Nielsen, y D. Keles, «IoT-enabled interoperability for energy-mobility integration: A systematic review of protocols, platforms, and standards», </w:t>
      </w:r>
      <w:r>
        <w:rPr>
          <w:i/>
          <w:iCs/>
        </w:rPr>
        <w:t>Appl. Energy</w:t>
      </w:r>
      <w:r>
        <w:t>, vol. 411, p. 127611, may 2026, doi: 10.1016/j.apenergy.2026.127611.</w:t>
      </w:r>
    </w:p>
    <w:p w14:paraId="13CC2E95">
      <w:pPr>
        <w:pStyle w:val="23"/>
      </w:pPr>
      <w:r>
        <w:t>[10]</w:t>
      </w:r>
      <w:r>
        <w:tab/>
      </w:r>
      <w:r>
        <w:t xml:space="preserve">Y. Abadade, A. Temouden, H. Bamoumen, N. Benamar, Y. Chtouki, y A. S. Hafid, «A Comprehensive Survey on TinyML», </w:t>
      </w:r>
      <w:r>
        <w:rPr>
          <w:i/>
          <w:iCs/>
        </w:rPr>
        <w:t>IEEE Access</w:t>
      </w:r>
      <w:r>
        <w:t>, vol. 11, pp. 96892-96922, 2023, doi: 10.1109/ACCESS.2023.3294111.</w:t>
      </w:r>
    </w:p>
    <w:p w14:paraId="1B23D8BB">
      <w:pPr>
        <w:pStyle w:val="23"/>
      </w:pPr>
      <w:r>
        <w:t>[11]</w:t>
      </w:r>
      <w:r>
        <w:tab/>
      </w:r>
      <w:r>
        <w:t xml:space="preserve">N. Alqahtani y A. Taneja, «Energy Aware Computing in IoT-Enabled Agriculture Network Using STAR RIS», </w:t>
      </w:r>
      <w:r>
        <w:rPr>
          <w:i/>
          <w:iCs/>
        </w:rPr>
        <w:t>IEEE Access</w:t>
      </w:r>
      <w:r>
        <w:t>, vol. 14, pp. 19841-19851, 2026, doi: 10.1109/ACCESS.2026.3660693.</w:t>
      </w:r>
    </w:p>
    <w:p w14:paraId="493E462A">
      <w:pPr>
        <w:pStyle w:val="23"/>
      </w:pPr>
      <w:r>
        <w:t>[12]</w:t>
      </w:r>
      <w:r>
        <w:tab/>
      </w:r>
      <w:r>
        <w:t xml:space="preserve">E. Effah, O. Thiare, y A. M. Wyglinski, «Hardware Evaluation of Cluster-Based Agricultural IoT Network», </w:t>
      </w:r>
      <w:r>
        <w:rPr>
          <w:i/>
          <w:iCs/>
        </w:rPr>
        <w:t>IEEE Access</w:t>
      </w:r>
      <w:r>
        <w:t>, vol. 12, pp. 33628-33651, 2024, doi: 10.1109/ACCESS.2024.3370230.</w:t>
      </w:r>
    </w:p>
    <w:p w14:paraId="751696FD">
      <w:pPr>
        <w:pStyle w:val="23"/>
      </w:pPr>
      <w:r>
        <w:t>[13]</w:t>
      </w:r>
      <w:r>
        <w:tab/>
      </w:r>
      <w:r>
        <w:t xml:space="preserve">S. Ghrab, I. Lahyani, S. Yangui, y M. Jmaiel, «A core IoT ontology for automation support in edge computing», </w:t>
      </w:r>
      <w:r>
        <w:rPr>
          <w:i/>
          <w:iCs/>
        </w:rPr>
        <w:t>Serv. Oriented Comput. Appl.</w:t>
      </w:r>
      <w:r>
        <w:t>, feb. 2023, doi: 10.1007/s11761-022-00356-2.</w:t>
      </w:r>
    </w:p>
    <w:p w14:paraId="7EAB7107">
      <w:pPr>
        <w:pStyle w:val="23"/>
      </w:pPr>
      <w:r>
        <w:t>[14]</w:t>
      </w:r>
      <w:r>
        <w:tab/>
      </w:r>
      <w:r>
        <w:t xml:space="preserve">S. Tahir, N. Saher, M. R. Faheem, M. N. Asghar, A. Iqbal, y S. Arif, «Design and evaluation of an intent-based web of things query framework for smart device discovery», </w:t>
      </w:r>
      <w:r>
        <w:rPr>
          <w:i/>
          <w:iCs/>
        </w:rPr>
        <w:t>Sci. Rep.</w:t>
      </w:r>
      <w:r>
        <w:t>, vol. 16, n.</w:t>
      </w:r>
      <w:r>
        <w:rPr>
          <w:vertAlign w:val="superscript"/>
        </w:rPr>
        <w:t>o</w:t>
      </w:r>
      <w:r>
        <w:t xml:space="preserve"> 1, p. 28344, jul. 2026, doi: 10.1038/s41598-026-60682-9.</w:t>
      </w:r>
    </w:p>
    <w:p w14:paraId="121C02F8">
      <w:pPr>
        <w:pStyle w:val="23"/>
      </w:pPr>
      <w:r>
        <w:t>[15]</w:t>
      </w:r>
      <w:r>
        <w:tab/>
      </w:r>
      <w:r>
        <w:t xml:space="preserve">A. Mukhiyadin, A. Akmoldina, K. Tainova, y D. Abdrahmanov, «Design and implementation of an interface architecture for automated IoT device testing platforms», </w:t>
      </w:r>
      <w:r>
        <w:rPr>
          <w:i/>
          <w:iCs/>
        </w:rPr>
        <w:t>Energy Inform.</w:t>
      </w:r>
      <w:r>
        <w:t>, vol. 9, n.</w:t>
      </w:r>
      <w:r>
        <w:rPr>
          <w:vertAlign w:val="superscript"/>
        </w:rPr>
        <w:t>o</w:t>
      </w:r>
      <w:r>
        <w:t xml:space="preserve"> 1, p. 28, feb. 2026, doi: 10.1186/s42162-026-00629-6.</w:t>
      </w:r>
    </w:p>
    <w:p w14:paraId="57AAAD73">
      <w:pPr>
        <w:pStyle w:val="23"/>
      </w:pPr>
      <w:r>
        <w:t>[16]</w:t>
      </w:r>
      <w:r>
        <w:tab/>
      </w:r>
      <w:r>
        <w:t xml:space="preserve">S. Bimonte, G. Bellocchi, F. Pinet, G. Chalhoub, M. Sakr, y P. Skrzypczyński, «Data engineering for sustainable agriculture: developments, challenges, and case studies of a novel IoRT architecture», </w:t>
      </w:r>
      <w:r>
        <w:rPr>
          <w:i/>
          <w:iCs/>
        </w:rPr>
        <w:t>J. Big Data</w:t>
      </w:r>
      <w:r>
        <w:t>, vol. 12, n.</w:t>
      </w:r>
      <w:r>
        <w:rPr>
          <w:vertAlign w:val="superscript"/>
        </w:rPr>
        <w:t>o</w:t>
      </w:r>
      <w:r>
        <w:t xml:space="preserve"> 1, p. 195, ago. 2025, doi: 10.1186/s40537-025-01253-z.</w:t>
      </w:r>
    </w:p>
    <w:p w14:paraId="022A72E6">
      <w:r>
        <w:fldChar w:fldCharType="end"/>
      </w:r>
    </w:p>
    <w:p w14:paraId="06ECAF20"/>
    <w:p w14:paraId="45E9D127"/>
    <w:p w14:paraId="7E7B13D5">
      <w:pPr>
        <w:rPr>
          <w:sz w:val="30"/>
          <w:szCs w:val="30"/>
        </w:rPr>
      </w:pPr>
    </w:p>
    <w:sectPr>
      <w:footerReference r:id="rId5"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3724A4AA-1B6C-4362-866B-30D22FD3434D}"/>
  </w:font>
  <w:font w:name="Courier New">
    <w:panose1 w:val="02070309020205020404"/>
    <w:charset w:val="00"/>
    <w:family w:val="modern"/>
    <w:pitch w:val="default"/>
    <w:sig w:usb0="E0002EFF" w:usb1="C0007843" w:usb2="00000009" w:usb3="00000000" w:csb0="400001FF" w:csb1="FFFF0000"/>
    <w:embedRegular r:id="rId2" w:fontKey="{A05E8BBD-2739-45C5-99B4-79B85E071BAE}"/>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3" w:fontKey="{BC86A09D-B3B8-4872-9FC9-5756C8E93B93}"/>
  </w:font>
  <w:font w:name="Calibri">
    <w:panose1 w:val="020F0502020204030204"/>
    <w:charset w:val="00"/>
    <w:family w:val="swiss"/>
    <w:pitch w:val="default"/>
    <w:sig w:usb0="E4002EFF" w:usb1="C200247B" w:usb2="00000009" w:usb3="00000000" w:csb0="200001FF" w:csb1="00000000"/>
    <w:embedRegular r:id="rId4" w:fontKey="{1F030F7B-A815-4BD7-BC62-5102DF2260D6}"/>
  </w:font>
  <w:font w:name="Montserrat">
    <w:panose1 w:val="00000500000000000000"/>
    <w:charset w:val="00"/>
    <w:family w:val="auto"/>
    <w:pitch w:val="default"/>
    <w:sig w:usb0="2000020F" w:usb1="00000003" w:usb2="00000000" w:usb3="00000000" w:csb0="20000197" w:csb1="00000000"/>
    <w:embedRegular r:id="rId5" w:fontKey="{ABBF7E68-9FB0-4A09-A53E-225C305FEB63}"/>
  </w:font>
  <w:font w:name="Symbol">
    <w:panose1 w:val="05050102010706020507"/>
    <w:charset w:val="02"/>
    <w:family w:val="roman"/>
    <w:pitch w:val="default"/>
    <w:sig w:usb0="00000000" w:usb1="00000000" w:usb2="00000000" w:usb3="00000000" w:csb0="80000000" w:csb1="00000000"/>
    <w:embedRegular r:id="rId6" w:fontKey="{FAFF9C76-EB8C-46BC-ACE5-ED17C1FEA4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24688585"/>
      <w:docPartObj>
        <w:docPartGallery w:val="AutoText"/>
      </w:docPartObj>
    </w:sdtPr>
    <w:sdtContent>
      <w:p w14:paraId="25115951">
        <w:pPr>
          <w:pStyle w:val="15"/>
          <w:jc w:val="right"/>
        </w:pPr>
        <w:r>
          <w:fldChar w:fldCharType="begin"/>
        </w:r>
        <w:r>
          <w:instrText xml:space="preserve">PAGE   \* MERGEFORMAT</w:instrText>
        </w:r>
        <w:r>
          <w:fldChar w:fldCharType="separate"/>
        </w:r>
        <w:r>
          <w:rPr>
            <w:lang w:val="es-ES"/>
          </w:rPr>
          <w:t>2</w:t>
        </w:r>
        <w:r>
          <w:fldChar w:fldCharType="end"/>
        </w:r>
      </w:p>
    </w:sdtContent>
  </w:sdt>
  <w:p w14:paraId="34188743">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BA3019"/>
    <w:multiLevelType w:val="multilevel"/>
    <w:tmpl w:val="1DBA30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6D24B76"/>
    <w:multiLevelType w:val="multilevel"/>
    <w:tmpl w:val="36D24B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9824A73"/>
    <w:multiLevelType w:val="multilevel"/>
    <w:tmpl w:val="49824A73"/>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3">
    <w:nsid w:val="671A2FA9"/>
    <w:multiLevelType w:val="multilevel"/>
    <w:tmpl w:val="671A2F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7BF1F9A"/>
    <w:multiLevelType w:val="multilevel"/>
    <w:tmpl w:val="77BF1F9A"/>
    <w:lvl w:ilvl="0" w:tentative="0">
      <w:start w:val="0"/>
      <w:numFmt w:val="bullet"/>
      <w:lvlText w:val=""/>
      <w:lvlJc w:val="left"/>
      <w:pPr>
        <w:ind w:left="720" w:hanging="360"/>
      </w:pPr>
      <w:rPr>
        <w:rFonts w:hint="default" w:ascii="Symbol" w:hAnsi="Symbol" w:eastAsia="Arial"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CF80891"/>
    <w:multiLevelType w:val="multilevel"/>
    <w:tmpl w:val="7CF80891"/>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907" w:hanging="56"/>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num w:numId="1">
    <w:abstractNumId w:val="2"/>
  </w:num>
  <w:num w:numId="2">
    <w:abstractNumId w:val="5"/>
  </w:num>
  <w:num w:numId="3">
    <w:abstractNumId w:val="4"/>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B0E"/>
    <w:rsid w:val="000A701A"/>
    <w:rsid w:val="000C228B"/>
    <w:rsid w:val="000C687E"/>
    <w:rsid w:val="00154C68"/>
    <w:rsid w:val="00207849"/>
    <w:rsid w:val="002B3BF1"/>
    <w:rsid w:val="002C0E01"/>
    <w:rsid w:val="002F56AC"/>
    <w:rsid w:val="0031171D"/>
    <w:rsid w:val="003B01BC"/>
    <w:rsid w:val="003D2186"/>
    <w:rsid w:val="003D6306"/>
    <w:rsid w:val="003F6A6F"/>
    <w:rsid w:val="004403BC"/>
    <w:rsid w:val="00443778"/>
    <w:rsid w:val="004E2674"/>
    <w:rsid w:val="00517B4E"/>
    <w:rsid w:val="0059431D"/>
    <w:rsid w:val="005A156E"/>
    <w:rsid w:val="005C6700"/>
    <w:rsid w:val="006326D8"/>
    <w:rsid w:val="0065418B"/>
    <w:rsid w:val="006A1B76"/>
    <w:rsid w:val="006E0642"/>
    <w:rsid w:val="00841BDF"/>
    <w:rsid w:val="008C3D33"/>
    <w:rsid w:val="008C48EE"/>
    <w:rsid w:val="00940D81"/>
    <w:rsid w:val="00A10F3A"/>
    <w:rsid w:val="00A37CC8"/>
    <w:rsid w:val="00A54DE7"/>
    <w:rsid w:val="00A72963"/>
    <w:rsid w:val="00B6515D"/>
    <w:rsid w:val="00B929CB"/>
    <w:rsid w:val="00D0246B"/>
    <w:rsid w:val="00D5069A"/>
    <w:rsid w:val="00D54038"/>
    <w:rsid w:val="00DA3846"/>
    <w:rsid w:val="00DA7B0E"/>
    <w:rsid w:val="00DA7D0A"/>
    <w:rsid w:val="00DE7BCE"/>
    <w:rsid w:val="00E25200"/>
    <w:rsid w:val="00E62F09"/>
    <w:rsid w:val="00E661F6"/>
    <w:rsid w:val="00EC30A8"/>
    <w:rsid w:val="00ED0E0F"/>
    <w:rsid w:val="00EF1D39"/>
    <w:rsid w:val="00F71211"/>
    <w:rsid w:val="00F9236C"/>
    <w:rsid w:val="73E872C4"/>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before="280" w:after="80" w:line="276" w:lineRule="auto"/>
    </w:pPr>
    <w:rPr>
      <w:rFonts w:ascii="Times New Roman" w:hAnsi="Times New Roman" w:eastAsia="Arial" w:cs="Arial"/>
      <w:color w:val="000000" w:themeColor="text1"/>
      <w:sz w:val="22"/>
      <w:szCs w:val="22"/>
      <w:lang w:val="es" w:eastAsia="es-EC" w:bidi="ar-SA"/>
      <w14:textFill>
        <w14:solidFill>
          <w14:schemeClr w14:val="tx1"/>
        </w14:solidFill>
      </w14:textFill>
    </w:rPr>
  </w:style>
  <w:style w:type="paragraph" w:styleId="2">
    <w:name w:val="heading 1"/>
    <w:basedOn w:val="1"/>
    <w:next w:val="1"/>
    <w:qFormat/>
    <w:uiPriority w:val="9"/>
    <w:pPr>
      <w:keepNext/>
      <w:keepLines/>
      <w:spacing w:before="400" w:after="120"/>
      <w:outlineLvl w:val="0"/>
    </w:pPr>
    <w:rPr>
      <w:b/>
      <w:sz w:val="24"/>
      <w:szCs w:val="40"/>
    </w:rPr>
  </w:style>
  <w:style w:type="paragraph" w:styleId="3">
    <w:name w:val="heading 2"/>
    <w:basedOn w:val="1"/>
    <w:next w:val="1"/>
    <w:unhideWhenUsed/>
    <w:qFormat/>
    <w:uiPriority w:val="9"/>
    <w:pPr>
      <w:keepNext/>
      <w:keepLines/>
      <w:spacing w:before="360" w:after="120"/>
      <w:ind w:firstLine="340"/>
      <w:outlineLvl w:val="1"/>
    </w:pPr>
    <w:rPr>
      <w:b/>
      <w:sz w:val="24"/>
      <w:szCs w:val="32"/>
    </w:rPr>
  </w:style>
  <w:style w:type="paragraph" w:styleId="4">
    <w:name w:val="heading 3"/>
    <w:basedOn w:val="1"/>
    <w:next w:val="1"/>
    <w:unhideWhenUsed/>
    <w:qFormat/>
    <w:uiPriority w:val="9"/>
    <w:pPr>
      <w:keepNext/>
      <w:keepLines/>
      <w:spacing w:before="320"/>
      <w:outlineLvl w:val="2"/>
    </w:pPr>
    <w:rPr>
      <w:b/>
      <w:sz w:val="24"/>
      <w:szCs w:val="28"/>
    </w:rPr>
  </w:style>
  <w:style w:type="paragraph" w:styleId="5">
    <w:name w:val="heading 4"/>
    <w:basedOn w:val="1"/>
    <w:next w:val="1"/>
    <w:unhideWhenUsed/>
    <w:qFormat/>
    <w:uiPriority w:val="9"/>
    <w:pPr>
      <w:keepNext/>
      <w:keepLines/>
      <w:outlineLvl w:val="3"/>
    </w:pPr>
    <w:rPr>
      <w:b/>
      <w:sz w:val="24"/>
      <w:szCs w:val="24"/>
    </w:rPr>
  </w:style>
  <w:style w:type="paragraph" w:styleId="6">
    <w:name w:val="heading 5"/>
    <w:basedOn w:val="1"/>
    <w:next w:val="1"/>
    <w:semiHidden/>
    <w:unhideWhenUsed/>
    <w:qFormat/>
    <w:uiPriority w:val="9"/>
    <w:pPr>
      <w:keepNext/>
      <w:keepLines/>
      <w:spacing w:before="240"/>
      <w:outlineLvl w:val="4"/>
    </w:pPr>
    <w:rPr>
      <w:color w:val="666666"/>
    </w:rPr>
  </w:style>
  <w:style w:type="paragraph" w:styleId="7">
    <w:name w:val="heading 6"/>
    <w:basedOn w:val="1"/>
    <w:next w:val="1"/>
    <w:semiHidden/>
    <w:unhideWhenUsed/>
    <w:qFormat/>
    <w:uiPriority w:val="9"/>
    <w:pPr>
      <w:keepNext/>
      <w:keepLines/>
      <w:spacing w:before="240"/>
      <w:outlineLvl w:val="5"/>
    </w:pPr>
    <w:rPr>
      <w:i/>
      <w:iCs/>
      <w:color w:val="666666"/>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toc 1"/>
    <w:basedOn w:val="1"/>
    <w:next w:val="1"/>
    <w:autoRedefine/>
    <w:unhideWhenUsed/>
    <w:qFormat/>
    <w:uiPriority w:val="39"/>
    <w:pPr>
      <w:spacing w:after="100"/>
    </w:pPr>
  </w:style>
  <w:style w:type="paragraph" w:styleId="12">
    <w:name w:val="toc 2"/>
    <w:basedOn w:val="1"/>
    <w:next w:val="1"/>
    <w:autoRedefine/>
    <w:unhideWhenUsed/>
    <w:qFormat/>
    <w:uiPriority w:val="39"/>
    <w:pPr>
      <w:spacing w:after="100"/>
      <w:ind w:left="220"/>
    </w:pPr>
  </w:style>
  <w:style w:type="paragraph" w:styleId="13">
    <w:name w:val="header"/>
    <w:basedOn w:val="1"/>
    <w:link w:val="20"/>
    <w:unhideWhenUsed/>
    <w:qFormat/>
    <w:uiPriority w:val="99"/>
    <w:pPr>
      <w:tabs>
        <w:tab w:val="center" w:pos="4252"/>
        <w:tab w:val="right" w:pos="8504"/>
      </w:tabs>
      <w:spacing w:line="240" w:lineRule="auto"/>
    </w:pPr>
  </w:style>
  <w:style w:type="paragraph" w:styleId="14">
    <w:name w:val="Normal (Web)"/>
    <w:basedOn w:val="1"/>
    <w:semiHidden/>
    <w:unhideWhenUsed/>
    <w:qFormat/>
    <w:uiPriority w:val="99"/>
    <w:pPr>
      <w:spacing w:before="100" w:beforeAutospacing="1" w:after="100" w:afterAutospacing="1" w:line="240" w:lineRule="auto"/>
    </w:pPr>
    <w:rPr>
      <w:rFonts w:eastAsia="Times New Roman" w:cs="Times New Roman"/>
      <w:color w:val="auto"/>
      <w:sz w:val="24"/>
      <w:szCs w:val="24"/>
      <w:lang w:val="es-EC"/>
    </w:rPr>
  </w:style>
  <w:style w:type="paragraph" w:styleId="15">
    <w:name w:val="footer"/>
    <w:basedOn w:val="1"/>
    <w:link w:val="21"/>
    <w:unhideWhenUsed/>
    <w:qFormat/>
    <w:uiPriority w:val="99"/>
    <w:pPr>
      <w:tabs>
        <w:tab w:val="center" w:pos="4252"/>
        <w:tab w:val="right" w:pos="8504"/>
      </w:tabs>
      <w:spacing w:line="240" w:lineRule="auto"/>
    </w:pPr>
  </w:style>
  <w:style w:type="paragraph" w:styleId="16">
    <w:name w:val="Subtitle"/>
    <w:basedOn w:val="1"/>
    <w:next w:val="1"/>
    <w:qFormat/>
    <w:uiPriority w:val="11"/>
    <w:pPr>
      <w:keepNext/>
      <w:keepLines/>
      <w:spacing w:before="0" w:after="320"/>
    </w:pPr>
    <w:rPr>
      <w:rFonts w:ascii="Arial" w:hAnsi="Arial"/>
      <w:color w:val="666666"/>
      <w:sz w:val="30"/>
      <w:szCs w:val="30"/>
    </w:rPr>
  </w:style>
  <w:style w:type="paragraph" w:styleId="17">
    <w:name w:val="Title"/>
    <w:basedOn w:val="1"/>
    <w:next w:val="1"/>
    <w:qFormat/>
    <w:uiPriority w:val="10"/>
    <w:pPr>
      <w:keepNext/>
      <w:keepLines/>
      <w:spacing w:before="0" w:after="60"/>
    </w:pPr>
    <w:rPr>
      <w:sz w:val="52"/>
      <w:szCs w:val="52"/>
    </w:rPr>
  </w:style>
  <w:style w:type="table" w:styleId="18">
    <w:name w:val="Table Grid"/>
    <w:basedOn w:val="9"/>
    <w:qFormat/>
    <w:uiPriority w:val="39"/>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
    <w:name w:val="TableNormal"/>
    <w:qFormat/>
    <w:uiPriority w:val="0"/>
    <w:tblPr>
      <w:tblCellMar>
        <w:top w:w="100" w:type="dxa"/>
        <w:left w:w="100" w:type="dxa"/>
        <w:bottom w:w="100" w:type="dxa"/>
        <w:right w:w="100" w:type="dxa"/>
      </w:tblCellMar>
    </w:tblPr>
  </w:style>
  <w:style w:type="character" w:customStyle="1" w:styleId="20">
    <w:name w:val="Encabezado Car"/>
    <w:basedOn w:val="8"/>
    <w:link w:val="13"/>
    <w:uiPriority w:val="99"/>
  </w:style>
  <w:style w:type="character" w:customStyle="1" w:styleId="21">
    <w:name w:val="Pie de página Car"/>
    <w:basedOn w:val="8"/>
    <w:link w:val="15"/>
    <w:qFormat/>
    <w:uiPriority w:val="99"/>
  </w:style>
  <w:style w:type="paragraph" w:styleId="22">
    <w:name w:val="List Paragraph"/>
    <w:basedOn w:val="1"/>
    <w:qFormat/>
    <w:uiPriority w:val="34"/>
    <w:pPr>
      <w:ind w:left="720"/>
      <w:contextualSpacing/>
    </w:pPr>
  </w:style>
  <w:style w:type="paragraph" w:customStyle="1" w:styleId="23">
    <w:name w:val="Bibliography"/>
    <w:basedOn w:val="1"/>
    <w:next w:val="1"/>
    <w:unhideWhenUsed/>
    <w:qFormat/>
    <w:uiPriority w:val="37"/>
    <w:pPr>
      <w:tabs>
        <w:tab w:val="left" w:pos="504"/>
      </w:tabs>
      <w:spacing w:after="0" w:line="240" w:lineRule="auto"/>
      <w:ind w:left="504" w:hanging="504"/>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D8E1B-263E-437D-AB23-B57CA738A45E}">
  <ds:schemaRefs/>
</ds:datastoreItem>
</file>

<file path=docProps/app.xml><?xml version="1.0" encoding="utf-8"?>
<Properties xmlns="http://schemas.openxmlformats.org/officeDocument/2006/extended-properties" xmlns:vt="http://schemas.openxmlformats.org/officeDocument/2006/docPropsVTypes">
  <Template>Normal</Template>
  <Pages>17</Pages>
  <Words>655</Words>
  <Characters>3871</Characters>
  <Lines>450</Lines>
  <Paragraphs>127</Paragraphs>
  <TotalTime>824</TotalTime>
  <ScaleCrop>false</ScaleCrop>
  <LinksUpToDate>false</LinksUpToDate>
  <CharactersWithSpaces>4483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2026-09-22T00:20:00Z</dcterms:created>
  <dc:creator>LENOVO</dc:creator>
  <cp:lastModifiedBy>LENOVO</cp:lastModifiedBy>
  <dcterms:modified xsi:type="dcterms:W3CDTF">2026-10-01T19:56:48Z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id="J9Hxq4Gz"/&gt;&lt;style id="http://www.zotero.org/styles/ieee"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KSOTemplateDocerSaveRecord">
    <vt:lpwstr>eyJoZGlkIjoiNzk4NzFhNGFkMGFmMjU1NmI4NDZjYWEwZjRlNWNmM2YifQ==</vt:lpwstr>
  </property>
  <property fmtid="{D5CDD505-2E9C-101B-9397-08002B2CF9AE}" pid="5" name="KSOProductBuildVer">
    <vt:lpwstr>3082-12.1.0.28485</vt:lpwstr>
  </property>
  <property fmtid="{D5CDD505-2E9C-101B-9397-08002B2CF9AE}" pid="6" name="ICV">
    <vt:lpwstr>FD2312162F0D48D0862D25F39AD42268_12</vt:lpwstr>
  </property>
</Properties>
</file>